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3F6" w:rsidRDefault="006E43F6">
      <w:pPr>
        <w:widowControl w:val="0"/>
        <w:pBdr>
          <w:top w:val="nil"/>
          <w:left w:val="nil"/>
          <w:bottom w:val="nil"/>
          <w:right w:val="nil"/>
          <w:between w:val="nil"/>
        </w:pBdr>
        <w:spacing w:after="0" w:line="276" w:lineRule="auto"/>
      </w:pPr>
      <w:bookmarkStart w:id="0" w:name="_GoBack"/>
      <w:bookmarkEnd w:id="0"/>
    </w:p>
    <w:p w:rsidR="006E43F6" w:rsidRDefault="00FA54BD">
      <w:pPr>
        <w:pBdr>
          <w:top w:val="nil"/>
          <w:left w:val="nil"/>
          <w:bottom w:val="nil"/>
          <w:right w:val="nil"/>
          <w:between w:val="nil"/>
        </w:pBdr>
        <w:jc w:val="center"/>
        <w:rPr>
          <w:rFonts w:ascii="Century Gothic" w:eastAsia="Century Gothic" w:hAnsi="Century Gothic" w:cs="Century Gothic"/>
          <w:b/>
          <w:color w:val="000000"/>
          <w:sz w:val="22"/>
          <w:szCs w:val="22"/>
        </w:rPr>
      </w:pPr>
      <w:bookmarkStart w:id="1" w:name="_heading=h.gjdgxs" w:colFirst="0" w:colLast="0"/>
      <w:bookmarkEnd w:id="1"/>
      <w:r>
        <w:rPr>
          <w:rFonts w:ascii="Century Gothic" w:eastAsia="Century Gothic" w:hAnsi="Century Gothic" w:cs="Century Gothic"/>
          <w:b/>
          <w:color w:val="000000"/>
          <w:sz w:val="22"/>
          <w:szCs w:val="22"/>
        </w:rPr>
        <w:t>Russell Lower School</w:t>
      </w:r>
    </w:p>
    <w:p w:rsidR="006E43F6" w:rsidRDefault="00FA54BD">
      <w:pPr>
        <w:pBdr>
          <w:top w:val="nil"/>
          <w:left w:val="nil"/>
          <w:bottom w:val="nil"/>
          <w:right w:val="nil"/>
          <w:between w:val="nil"/>
        </w:pBdr>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Charging and Remissions Policy</w:t>
      </w:r>
    </w:p>
    <w:p w:rsidR="006E43F6" w:rsidRDefault="00FA54BD">
      <w:pPr>
        <w:pBdr>
          <w:top w:val="nil"/>
          <w:left w:val="nil"/>
          <w:bottom w:val="nil"/>
          <w:right w:val="nil"/>
          <w:between w:val="nil"/>
        </w:pBdr>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Autumn 202</w:t>
      </w:r>
      <w:r>
        <w:rPr>
          <w:rFonts w:ascii="Century Gothic" w:eastAsia="Century Gothic" w:hAnsi="Century Gothic" w:cs="Century Gothic"/>
          <w:b/>
          <w:sz w:val="22"/>
          <w:szCs w:val="22"/>
        </w:rPr>
        <w:t>4</w:t>
      </w:r>
    </w:p>
    <w:p w:rsidR="006E43F6" w:rsidRDefault="00FA54BD">
      <w:pPr>
        <w:spacing w:before="120"/>
        <w:rPr>
          <w:rFonts w:ascii="Century Gothic" w:eastAsia="Century Gothic" w:hAnsi="Century Gothic" w:cs="Century Gothic"/>
          <w:b/>
          <w:sz w:val="22"/>
          <w:szCs w:val="22"/>
        </w:rPr>
      </w:pPr>
      <w:bookmarkStart w:id="2" w:name="_heading=h.30j0zll" w:colFirst="0" w:colLast="0"/>
      <w:bookmarkEnd w:id="2"/>
      <w:r>
        <w:rPr>
          <w:rFonts w:ascii="Century Gothic" w:eastAsia="Century Gothic" w:hAnsi="Century Gothic" w:cs="Century Gothic"/>
          <w:b/>
          <w:sz w:val="22"/>
          <w:szCs w:val="22"/>
        </w:rPr>
        <w:t>1. Aims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Our school aims to: </w:t>
      </w:r>
    </w:p>
    <w:p w:rsidR="006E43F6" w:rsidRDefault="00FA54BD">
      <w:pPr>
        <w:numPr>
          <w:ilvl w:val="0"/>
          <w:numId w:val="2"/>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Have robust, clear processes in place for charging and remissions </w:t>
      </w:r>
    </w:p>
    <w:p w:rsidR="006E43F6" w:rsidRDefault="00FA54BD">
      <w:pPr>
        <w:numPr>
          <w:ilvl w:val="0"/>
          <w:numId w:val="2"/>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Clearly set out the types of activity that can be charged for and when charges will and will not be made</w:t>
      </w:r>
    </w:p>
    <w:p w:rsidR="006E43F6" w:rsidRDefault="00FA54BD">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Offer a range of activities and visits whilst </w:t>
      </w:r>
      <w:proofErr w:type="spellStart"/>
      <w:r>
        <w:rPr>
          <w:rFonts w:ascii="Century Gothic" w:eastAsia="Century Gothic" w:hAnsi="Century Gothic" w:cs="Century Gothic"/>
          <w:color w:val="000000"/>
          <w:sz w:val="22"/>
          <w:szCs w:val="22"/>
        </w:rPr>
        <w:t>minimising</w:t>
      </w:r>
      <w:proofErr w:type="spellEnd"/>
      <w:r>
        <w:rPr>
          <w:rFonts w:ascii="Century Gothic" w:eastAsia="Century Gothic" w:hAnsi="Century Gothic" w:cs="Century Gothic"/>
          <w:color w:val="000000"/>
          <w:sz w:val="22"/>
          <w:szCs w:val="22"/>
        </w:rPr>
        <w:t xml:space="preserve"> the financial barriers that may prevent some pupils from taking full advantage of these opportunities</w:t>
      </w:r>
    </w:p>
    <w:p w:rsidR="006E43F6" w:rsidRDefault="00FA54BD">
      <w:pPr>
        <w:spacing w:before="120"/>
        <w:rPr>
          <w:rFonts w:ascii="Century Gothic" w:eastAsia="Century Gothic" w:hAnsi="Century Gothic" w:cs="Century Gothic"/>
          <w:b/>
          <w:sz w:val="22"/>
          <w:szCs w:val="22"/>
        </w:rPr>
      </w:pPr>
      <w:bookmarkStart w:id="3" w:name="_heading=h.1fob9te" w:colFirst="0" w:colLast="0"/>
      <w:bookmarkEnd w:id="3"/>
      <w:r>
        <w:rPr>
          <w:rFonts w:ascii="Century Gothic" w:eastAsia="Century Gothic" w:hAnsi="Century Gothic" w:cs="Century Gothic"/>
          <w:b/>
          <w:sz w:val="22"/>
          <w:szCs w:val="22"/>
        </w:rPr>
        <w:t>2. Legislation and guidance</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This policy is based on advice from the Department for Education (DfE</w:t>
      </w:r>
      <w:r>
        <w:rPr>
          <w:rFonts w:ascii="Century Gothic" w:eastAsia="Century Gothic" w:hAnsi="Century Gothic" w:cs="Century Gothic"/>
          <w:sz w:val="22"/>
          <w:szCs w:val="22"/>
        </w:rPr>
        <w:t xml:space="preserve">) on </w:t>
      </w:r>
      <w:hyperlink r:id="rId8">
        <w:r>
          <w:rPr>
            <w:rFonts w:ascii="Century Gothic" w:eastAsia="Century Gothic" w:hAnsi="Century Gothic" w:cs="Century Gothic"/>
            <w:sz w:val="22"/>
            <w:szCs w:val="22"/>
            <w:u w:val="single"/>
          </w:rPr>
          <w:t>charging for school activities</w:t>
        </w:r>
      </w:hyperlink>
      <w:r>
        <w:rPr>
          <w:rFonts w:ascii="Century Gothic" w:eastAsia="Century Gothic" w:hAnsi="Century Gothic" w:cs="Century Gothic"/>
          <w:sz w:val="22"/>
          <w:szCs w:val="22"/>
        </w:rPr>
        <w:t xml:space="preserve"> and </w:t>
      </w:r>
      <w:hyperlink r:id="rId9">
        <w:r>
          <w:rPr>
            <w:rFonts w:ascii="Century Gothic" w:eastAsia="Century Gothic" w:hAnsi="Century Gothic" w:cs="Century Gothic"/>
            <w:sz w:val="22"/>
            <w:szCs w:val="22"/>
            <w:u w:val="single"/>
          </w:rPr>
          <w:t>the Education Act 1996</w:t>
        </w:r>
      </w:hyperlink>
      <w:r>
        <w:rPr>
          <w:rFonts w:ascii="Century Gothic" w:eastAsia="Century Gothic" w:hAnsi="Century Gothic" w:cs="Century Gothic"/>
          <w:sz w:val="22"/>
          <w:szCs w:val="22"/>
        </w:rPr>
        <w:t xml:space="preserve">, sections 449 to 462 of which set out the law on charging for school activities in England.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It’s also based on guidance from the DfE on </w:t>
      </w:r>
      <w:hyperlink r:id="rId10">
        <w:r>
          <w:rPr>
            <w:rFonts w:ascii="Century Gothic" w:eastAsia="Century Gothic" w:hAnsi="Century Gothic" w:cs="Century Gothic"/>
            <w:sz w:val="22"/>
            <w:szCs w:val="22"/>
            <w:u w:val="single"/>
          </w:rPr>
          <w:t>statutory policies for schools and academy trusts</w:t>
        </w:r>
      </w:hyperlink>
      <w:r>
        <w:rPr>
          <w:rFonts w:ascii="Century Gothic" w:eastAsia="Century Gothic" w:hAnsi="Century Gothic" w:cs="Century Gothic"/>
          <w:sz w:val="22"/>
          <w:szCs w:val="22"/>
        </w:rPr>
        <w:t>.</w:t>
      </w:r>
    </w:p>
    <w:p w:rsidR="006E43F6" w:rsidRDefault="00FA54BD">
      <w:pPr>
        <w:spacing w:before="120"/>
        <w:rPr>
          <w:rFonts w:ascii="Century Gothic" w:eastAsia="Century Gothic" w:hAnsi="Century Gothic" w:cs="Century Gothic"/>
          <w:b/>
          <w:sz w:val="22"/>
          <w:szCs w:val="22"/>
        </w:rPr>
      </w:pPr>
      <w:bookmarkStart w:id="4" w:name="_heading=h.3znysh7" w:colFirst="0" w:colLast="0"/>
      <w:bookmarkEnd w:id="4"/>
      <w:r>
        <w:rPr>
          <w:rFonts w:ascii="Century Gothic" w:eastAsia="Century Gothic" w:hAnsi="Century Gothic" w:cs="Century Gothic"/>
          <w:b/>
          <w:sz w:val="22"/>
          <w:szCs w:val="22"/>
        </w:rPr>
        <w:t xml:space="preserve">3. Definitions </w:t>
      </w:r>
    </w:p>
    <w:p w:rsidR="006E43F6" w:rsidRDefault="00FA54BD">
      <w:pPr>
        <w:ind w:left="170"/>
        <w:rPr>
          <w:rFonts w:ascii="Century Gothic" w:eastAsia="Century Gothic" w:hAnsi="Century Gothic" w:cs="Century Gothic"/>
          <w:sz w:val="22"/>
          <w:szCs w:val="22"/>
        </w:rPr>
      </w:pPr>
      <w:r>
        <w:rPr>
          <w:rFonts w:ascii="Century Gothic" w:eastAsia="Century Gothic" w:hAnsi="Century Gothic" w:cs="Century Gothic"/>
          <w:b/>
          <w:sz w:val="22"/>
          <w:szCs w:val="22"/>
        </w:rPr>
        <w:t>Charge</w:t>
      </w:r>
      <w:r>
        <w:rPr>
          <w:rFonts w:ascii="Century Gothic" w:eastAsia="Century Gothic" w:hAnsi="Century Gothic" w:cs="Century Gothic"/>
          <w:sz w:val="22"/>
          <w:szCs w:val="22"/>
        </w:rPr>
        <w:t>: a fee payable for specifically defined activities</w:t>
      </w:r>
    </w:p>
    <w:p w:rsidR="006E43F6" w:rsidRDefault="00FA54BD">
      <w:pPr>
        <w:ind w:left="170"/>
        <w:rPr>
          <w:rFonts w:ascii="Century Gothic" w:eastAsia="Century Gothic" w:hAnsi="Century Gothic" w:cs="Century Gothic"/>
          <w:sz w:val="22"/>
          <w:szCs w:val="22"/>
        </w:rPr>
      </w:pPr>
      <w:r>
        <w:rPr>
          <w:rFonts w:ascii="Century Gothic" w:eastAsia="Century Gothic" w:hAnsi="Century Gothic" w:cs="Century Gothic"/>
          <w:b/>
          <w:sz w:val="22"/>
          <w:szCs w:val="22"/>
        </w:rPr>
        <w:t>Remission</w:t>
      </w:r>
      <w:r>
        <w:rPr>
          <w:rFonts w:ascii="Century Gothic" w:eastAsia="Century Gothic" w:hAnsi="Century Gothic" w:cs="Century Gothic"/>
          <w:sz w:val="22"/>
          <w:szCs w:val="22"/>
        </w:rPr>
        <w:t>: the cancellation of a charge which would normally be payable</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4.  The governi</w:t>
      </w:r>
      <w:r>
        <w:rPr>
          <w:rFonts w:ascii="Century Gothic" w:eastAsia="Century Gothic" w:hAnsi="Century Gothic" w:cs="Century Gothic"/>
          <w:b/>
          <w:sz w:val="22"/>
          <w:szCs w:val="22"/>
        </w:rPr>
        <w:t>ng board</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The governing board has overall responsibility for approving the charging and remissions policy, but can delegate this to a committee, an individual governor or the headteacher.</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The governing board also has overall responsibility for monitoring th</w:t>
      </w:r>
      <w:r>
        <w:rPr>
          <w:rFonts w:ascii="Century Gothic" w:eastAsia="Century Gothic" w:hAnsi="Century Gothic" w:cs="Century Gothic"/>
          <w:sz w:val="22"/>
          <w:szCs w:val="22"/>
        </w:rPr>
        <w:t>e implementation of this policy.</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Responsibility for approving the charging and remissions policy has been delegated to the Headteacher.</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Monitoring the implementation of this policy has been delegated to the Headteacher.</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4.1 Headteachers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headteacher is </w:t>
      </w:r>
      <w:r>
        <w:rPr>
          <w:rFonts w:ascii="Century Gothic" w:eastAsia="Century Gothic" w:hAnsi="Century Gothic" w:cs="Century Gothic"/>
          <w:sz w:val="22"/>
          <w:szCs w:val="22"/>
        </w:rPr>
        <w:t>responsible for ensuring staff are familiar with the charging and remissions policy, and that it is being applied consistently.</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4.2 Staff</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Staff are responsible for: </w:t>
      </w:r>
    </w:p>
    <w:p w:rsidR="006E43F6" w:rsidRDefault="00FA54BD">
      <w:pPr>
        <w:numPr>
          <w:ilvl w:val="0"/>
          <w:numId w:val="3"/>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Implementing the charging and remissions policy consistently </w:t>
      </w:r>
    </w:p>
    <w:p w:rsidR="006E43F6" w:rsidRDefault="00FA54BD">
      <w:pPr>
        <w:numPr>
          <w:ilvl w:val="0"/>
          <w:numId w:val="3"/>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Notifying the headteacher of any specific circumstances which they are unsure about or where they are not certain if the policy applies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The school will provide staff with appropriate training in relation to this policy and its implementation.</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 xml:space="preserve">4.3   Parents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Parents are expected to notify staff or the headteacher of any concerns or queries regarding the charging and remissions policy.</w:t>
      </w:r>
    </w:p>
    <w:p w:rsidR="006E43F6" w:rsidRDefault="00FA54BD">
      <w:pPr>
        <w:spacing w:before="120"/>
        <w:rPr>
          <w:rFonts w:ascii="Century Gothic" w:eastAsia="Century Gothic" w:hAnsi="Century Gothic" w:cs="Century Gothic"/>
          <w:b/>
          <w:sz w:val="22"/>
          <w:szCs w:val="22"/>
        </w:rPr>
      </w:pPr>
      <w:bookmarkStart w:id="5" w:name="_heading=h.2et92p0" w:colFirst="0" w:colLast="0"/>
      <w:bookmarkEnd w:id="5"/>
      <w:r>
        <w:rPr>
          <w:rFonts w:ascii="Century Gothic" w:eastAsia="Century Gothic" w:hAnsi="Century Gothic" w:cs="Century Gothic"/>
          <w:b/>
          <w:sz w:val="22"/>
          <w:szCs w:val="22"/>
        </w:rPr>
        <w:t>5. Where charges cannot be made</w:t>
      </w:r>
      <w:r>
        <w:rPr>
          <w:rFonts w:ascii="Century Gothic" w:eastAsia="Century Gothic" w:hAnsi="Century Gothic" w:cs="Century Gothic"/>
          <w:b/>
          <w:sz w:val="22"/>
          <w:szCs w:val="22"/>
        </w:rPr>
        <w:tab/>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Below we set out what we </w:t>
      </w:r>
      <w:r>
        <w:rPr>
          <w:rFonts w:ascii="Century Gothic" w:eastAsia="Century Gothic" w:hAnsi="Century Gothic" w:cs="Century Gothic"/>
          <w:b/>
          <w:sz w:val="22"/>
          <w:szCs w:val="22"/>
        </w:rPr>
        <w:t xml:space="preserve">cannot </w:t>
      </w:r>
      <w:r>
        <w:rPr>
          <w:rFonts w:ascii="Century Gothic" w:eastAsia="Century Gothic" w:hAnsi="Century Gothic" w:cs="Century Gothic"/>
          <w:sz w:val="22"/>
          <w:szCs w:val="22"/>
        </w:rPr>
        <w:t xml:space="preserve">charge for: </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5.1 Education</w:t>
      </w:r>
    </w:p>
    <w:p w:rsidR="006E43F6" w:rsidRDefault="00FA54BD">
      <w:pPr>
        <w:numPr>
          <w:ilvl w:val="0"/>
          <w:numId w:val="4"/>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Admission applicatio</w:t>
      </w:r>
      <w:r>
        <w:rPr>
          <w:rFonts w:ascii="Century Gothic" w:eastAsia="Century Gothic" w:hAnsi="Century Gothic" w:cs="Century Gothic"/>
          <w:color w:val="000000"/>
          <w:sz w:val="22"/>
          <w:szCs w:val="22"/>
        </w:rPr>
        <w:t>ns</w:t>
      </w:r>
    </w:p>
    <w:p w:rsidR="006E43F6" w:rsidRDefault="00FA54BD">
      <w:pPr>
        <w:numPr>
          <w:ilvl w:val="0"/>
          <w:numId w:val="4"/>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Education provided during school hours (including the supply of any materials, books, instruments or other equipment) </w:t>
      </w:r>
    </w:p>
    <w:p w:rsidR="006E43F6" w:rsidRDefault="00FA54BD">
      <w:pPr>
        <w:numPr>
          <w:ilvl w:val="0"/>
          <w:numId w:val="4"/>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Education provided outside school hours if it is part of:</w:t>
      </w:r>
    </w:p>
    <w:p w:rsidR="006E43F6" w:rsidRDefault="00FA54BD">
      <w:pPr>
        <w:numPr>
          <w:ilvl w:val="1"/>
          <w:numId w:val="4"/>
        </w:numPr>
        <w:ind w:left="1418"/>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National Curriculum </w:t>
      </w:r>
    </w:p>
    <w:p w:rsidR="006E43F6" w:rsidRDefault="00FA54BD">
      <w:pPr>
        <w:numPr>
          <w:ilvl w:val="1"/>
          <w:numId w:val="4"/>
        </w:numPr>
        <w:ind w:left="1418"/>
        <w:rPr>
          <w:rFonts w:ascii="Century Gothic" w:eastAsia="Century Gothic" w:hAnsi="Century Gothic" w:cs="Century Gothic"/>
          <w:sz w:val="22"/>
          <w:szCs w:val="22"/>
        </w:rPr>
      </w:pPr>
      <w:r>
        <w:rPr>
          <w:rFonts w:ascii="Century Gothic" w:eastAsia="Century Gothic" w:hAnsi="Century Gothic" w:cs="Century Gothic"/>
          <w:sz w:val="22"/>
          <w:szCs w:val="22"/>
        </w:rPr>
        <w:t>A syllabus for a prescribed public examination that the pupil is being prepared for at the school</w:t>
      </w:r>
    </w:p>
    <w:p w:rsidR="006E43F6" w:rsidRDefault="00FA54BD">
      <w:pPr>
        <w:numPr>
          <w:ilvl w:val="1"/>
          <w:numId w:val="4"/>
        </w:numPr>
        <w:ind w:left="1418"/>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Religious education </w:t>
      </w:r>
    </w:p>
    <w:p w:rsidR="006E43F6" w:rsidRDefault="00FA54BD">
      <w:pPr>
        <w:numPr>
          <w:ilvl w:val="0"/>
          <w:numId w:val="4"/>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Instrumental or vocal tuition, for pupils learning individually or in groups, unless the tuition is provided at the request of the pupil’</w:t>
      </w:r>
      <w:r>
        <w:rPr>
          <w:rFonts w:ascii="Century Gothic" w:eastAsia="Century Gothic" w:hAnsi="Century Gothic" w:cs="Century Gothic"/>
          <w:color w:val="000000"/>
          <w:sz w:val="22"/>
          <w:szCs w:val="22"/>
        </w:rPr>
        <w:t>s parent</w:t>
      </w:r>
    </w:p>
    <w:p w:rsidR="006E43F6" w:rsidRDefault="00FA54BD">
      <w:pPr>
        <w:numPr>
          <w:ilvl w:val="0"/>
          <w:numId w:val="4"/>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Entry for a prescribed public examination if the pupil has been prepared for it at the school</w:t>
      </w:r>
    </w:p>
    <w:p w:rsidR="006E43F6" w:rsidRDefault="00FA54BD">
      <w:pPr>
        <w:numPr>
          <w:ilvl w:val="0"/>
          <w:numId w:val="4"/>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Examination re-sit(s) if the pupil is being prepared for the re-sit(s) at the school</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5.2   Transport</w:t>
      </w:r>
    </w:p>
    <w:p w:rsidR="006E43F6" w:rsidRDefault="00FA54BD">
      <w:pPr>
        <w:numPr>
          <w:ilvl w:val="0"/>
          <w:numId w:val="5"/>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Transporting registered pupils to or from the school</w:t>
      </w:r>
      <w:r>
        <w:rPr>
          <w:rFonts w:ascii="Century Gothic" w:eastAsia="Century Gothic" w:hAnsi="Century Gothic" w:cs="Century Gothic"/>
          <w:color w:val="000000"/>
          <w:sz w:val="22"/>
          <w:szCs w:val="22"/>
        </w:rPr>
        <w:t xml:space="preserve"> premises, where the local authority has a statutory obligation to provide transport</w:t>
      </w:r>
    </w:p>
    <w:p w:rsidR="006E43F6" w:rsidRDefault="00FA54BD">
      <w:pPr>
        <w:numPr>
          <w:ilvl w:val="0"/>
          <w:numId w:val="5"/>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Transporting registered pupils to other premises where the governing board or local authority has arranged for pupils to be educated</w:t>
      </w:r>
    </w:p>
    <w:p w:rsidR="006E43F6" w:rsidRDefault="00FA54BD">
      <w:pPr>
        <w:numPr>
          <w:ilvl w:val="0"/>
          <w:numId w:val="5"/>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Transport that enables a pupil to meet</w:t>
      </w:r>
      <w:r>
        <w:rPr>
          <w:rFonts w:ascii="Century Gothic" w:eastAsia="Century Gothic" w:hAnsi="Century Gothic" w:cs="Century Gothic"/>
          <w:color w:val="000000"/>
          <w:sz w:val="22"/>
          <w:szCs w:val="22"/>
        </w:rPr>
        <w:t xml:space="preserve"> an examination requirement when he or she has been prepared for that examination at the school</w:t>
      </w:r>
    </w:p>
    <w:p w:rsidR="006E43F6" w:rsidRDefault="00FA54BD">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Transport provided in connection with an educational visit </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5.3   Residential visits</w:t>
      </w:r>
    </w:p>
    <w:p w:rsidR="006E43F6" w:rsidRDefault="00FA54BD">
      <w:pPr>
        <w:numPr>
          <w:ilvl w:val="0"/>
          <w:numId w:val="4"/>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Education provided on any visit that takes place during school hours</w:t>
      </w:r>
    </w:p>
    <w:p w:rsidR="006E43F6" w:rsidRDefault="00FA54BD">
      <w:pPr>
        <w:numPr>
          <w:ilvl w:val="0"/>
          <w:numId w:val="4"/>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Education provided on any visit that takes place outside school hours if it is part of:</w:t>
      </w:r>
    </w:p>
    <w:p w:rsidR="006E43F6" w:rsidRDefault="00FA54BD">
      <w:pPr>
        <w:numPr>
          <w:ilvl w:val="1"/>
          <w:numId w:val="4"/>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National Curriculum </w:t>
      </w:r>
    </w:p>
    <w:p w:rsidR="006E43F6" w:rsidRDefault="00FA54BD">
      <w:pPr>
        <w:numPr>
          <w:ilvl w:val="1"/>
          <w:numId w:val="4"/>
        </w:numPr>
        <w:pBdr>
          <w:top w:val="nil"/>
          <w:left w:val="nil"/>
          <w:bottom w:val="nil"/>
          <w:right w:val="nil"/>
          <w:between w:val="nil"/>
        </w:pBdr>
        <w:rPr>
          <w:rFonts w:ascii="Century Gothic" w:eastAsia="Century Gothic" w:hAnsi="Century Gothic" w:cs="Century Gothic"/>
          <w:color w:val="000000"/>
          <w:sz w:val="22"/>
          <w:szCs w:val="22"/>
        </w:rPr>
      </w:pPr>
      <w:bookmarkStart w:id="6" w:name="_heading=h.tyjcwt" w:colFirst="0" w:colLast="0"/>
      <w:bookmarkEnd w:id="6"/>
      <w:r>
        <w:rPr>
          <w:rFonts w:ascii="Century Gothic" w:eastAsia="Century Gothic" w:hAnsi="Century Gothic" w:cs="Century Gothic"/>
          <w:color w:val="000000"/>
          <w:sz w:val="22"/>
          <w:szCs w:val="22"/>
        </w:rPr>
        <w:t>A syllabus for a prescribed public examination that the pupil is being prepared for at the school</w:t>
      </w:r>
    </w:p>
    <w:p w:rsidR="006E43F6" w:rsidRDefault="00FA54BD">
      <w:pPr>
        <w:numPr>
          <w:ilvl w:val="1"/>
          <w:numId w:val="4"/>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Religious education</w:t>
      </w:r>
    </w:p>
    <w:p w:rsidR="006E43F6" w:rsidRDefault="00FA54BD">
      <w:pPr>
        <w:numPr>
          <w:ilvl w:val="0"/>
          <w:numId w:val="4"/>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Supply teachers, covering</w:t>
      </w:r>
      <w:r>
        <w:rPr>
          <w:rFonts w:ascii="Century Gothic" w:eastAsia="Century Gothic" w:hAnsi="Century Gothic" w:cs="Century Gothic"/>
          <w:color w:val="000000"/>
          <w:sz w:val="22"/>
          <w:szCs w:val="22"/>
        </w:rPr>
        <w:t xml:space="preserve"> for teachers who are absent from school, accompanying pupils on a residential visit</w:t>
      </w:r>
    </w:p>
    <w:p w:rsidR="006E43F6" w:rsidRDefault="00FA54BD">
      <w:pPr>
        <w:spacing w:before="120"/>
        <w:rPr>
          <w:rFonts w:ascii="Century Gothic" w:eastAsia="Century Gothic" w:hAnsi="Century Gothic" w:cs="Century Gothic"/>
          <w:b/>
          <w:sz w:val="22"/>
          <w:szCs w:val="22"/>
        </w:rPr>
      </w:pPr>
      <w:bookmarkStart w:id="7" w:name="_heading=h.3dy6vkm" w:colFirst="0" w:colLast="0"/>
      <w:bookmarkEnd w:id="7"/>
      <w:r>
        <w:rPr>
          <w:rFonts w:ascii="Century Gothic" w:eastAsia="Century Gothic" w:hAnsi="Century Gothic" w:cs="Century Gothic"/>
          <w:b/>
          <w:sz w:val="22"/>
          <w:szCs w:val="22"/>
        </w:rPr>
        <w:t>6. Where charges can be made</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Below we set out what we </w:t>
      </w:r>
      <w:r>
        <w:rPr>
          <w:rFonts w:ascii="Century Gothic" w:eastAsia="Century Gothic" w:hAnsi="Century Gothic" w:cs="Century Gothic"/>
          <w:b/>
          <w:sz w:val="22"/>
          <w:szCs w:val="22"/>
        </w:rPr>
        <w:t>can</w:t>
      </w:r>
      <w:r>
        <w:rPr>
          <w:rFonts w:ascii="Century Gothic" w:eastAsia="Century Gothic" w:hAnsi="Century Gothic" w:cs="Century Gothic"/>
          <w:sz w:val="22"/>
          <w:szCs w:val="22"/>
        </w:rPr>
        <w:t xml:space="preserve"> charge for: </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6.1   Education</w:t>
      </w:r>
    </w:p>
    <w:p w:rsidR="006E43F6" w:rsidRDefault="00FA54BD">
      <w:pPr>
        <w:numPr>
          <w:ilvl w:val="0"/>
          <w:numId w:val="6"/>
        </w:numPr>
        <w:pBdr>
          <w:top w:val="nil"/>
          <w:left w:val="nil"/>
          <w:bottom w:val="nil"/>
          <w:right w:val="nil"/>
          <w:between w:val="nil"/>
        </w:pBdr>
        <w:spacing w:after="0"/>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Any materials, books, instruments or equipment, where the child’s parent wishes him or her to own them</w:t>
      </w:r>
    </w:p>
    <w:p w:rsidR="006E43F6" w:rsidRDefault="00FA54BD">
      <w:pPr>
        <w:numPr>
          <w:ilvl w:val="0"/>
          <w:numId w:val="6"/>
        </w:numPr>
        <w:pBdr>
          <w:top w:val="nil"/>
          <w:left w:val="nil"/>
          <w:bottom w:val="nil"/>
          <w:right w:val="nil"/>
          <w:between w:val="nil"/>
        </w:pBdr>
        <w:spacing w:after="0"/>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Optional extras (see section 6.2)</w:t>
      </w:r>
    </w:p>
    <w:p w:rsidR="006E43F6" w:rsidRDefault="00FA54BD">
      <w:pPr>
        <w:numPr>
          <w:ilvl w:val="0"/>
          <w:numId w:val="6"/>
        </w:numPr>
        <w:pBdr>
          <w:top w:val="nil"/>
          <w:left w:val="nil"/>
          <w:bottom w:val="nil"/>
          <w:right w:val="nil"/>
          <w:between w:val="nil"/>
        </w:pBdr>
        <w:spacing w:after="0"/>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Music and vocal tuition, in limited circumstances (see section 6.3)</w:t>
      </w:r>
    </w:p>
    <w:p w:rsidR="006E43F6" w:rsidRDefault="00FA54BD">
      <w:pPr>
        <w:numPr>
          <w:ilvl w:val="0"/>
          <w:numId w:val="6"/>
        </w:numPr>
        <w:pBdr>
          <w:top w:val="nil"/>
          <w:left w:val="nil"/>
          <w:bottom w:val="nil"/>
          <w:right w:val="nil"/>
          <w:between w:val="nil"/>
        </w:pBdr>
        <w:spacing w:after="0"/>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Certain early years provision</w:t>
      </w:r>
    </w:p>
    <w:p w:rsidR="006E43F6" w:rsidRDefault="00FA54BD">
      <w:pPr>
        <w:numPr>
          <w:ilvl w:val="0"/>
          <w:numId w:val="6"/>
        </w:numPr>
        <w:pBdr>
          <w:top w:val="nil"/>
          <w:left w:val="nil"/>
          <w:bottom w:val="nil"/>
          <w:right w:val="nil"/>
          <w:between w:val="nil"/>
        </w:pBdr>
        <w:spacing w:after="0"/>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Community facilities </w:t>
      </w:r>
    </w:p>
    <w:p w:rsidR="006E43F6" w:rsidRDefault="00FA54BD">
      <w:pPr>
        <w:numPr>
          <w:ilvl w:val="0"/>
          <w:numId w:val="6"/>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Examination re-sit(s) if the pupil is being prepared for the re-sit(s) at the school </w:t>
      </w:r>
      <w:r>
        <w:rPr>
          <w:rFonts w:ascii="Century Gothic" w:eastAsia="Century Gothic" w:hAnsi="Century Gothic" w:cs="Century Gothic"/>
          <w:b/>
          <w:color w:val="000000"/>
          <w:sz w:val="22"/>
          <w:szCs w:val="22"/>
        </w:rPr>
        <w:t>and</w:t>
      </w:r>
      <w:r>
        <w:rPr>
          <w:rFonts w:ascii="Century Gothic" w:eastAsia="Century Gothic" w:hAnsi="Century Gothic" w:cs="Century Gothic"/>
          <w:color w:val="000000"/>
          <w:sz w:val="22"/>
          <w:szCs w:val="22"/>
        </w:rPr>
        <w:t xml:space="preserve"> the pupil fails, without good reason, to meet any examination requirement for a syllabus </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6.2   Optional extras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We are able to charge for activities known as ‘optiona</w:t>
      </w:r>
      <w:r>
        <w:rPr>
          <w:rFonts w:ascii="Century Gothic" w:eastAsia="Century Gothic" w:hAnsi="Century Gothic" w:cs="Century Gothic"/>
          <w:sz w:val="22"/>
          <w:szCs w:val="22"/>
        </w:rPr>
        <w:t xml:space="preserve">l </w:t>
      </w:r>
      <w:proofErr w:type="gramStart"/>
      <w:r>
        <w:rPr>
          <w:rFonts w:ascii="Century Gothic" w:eastAsia="Century Gothic" w:hAnsi="Century Gothic" w:cs="Century Gothic"/>
          <w:sz w:val="22"/>
          <w:szCs w:val="22"/>
        </w:rPr>
        <w:t>extras’</w:t>
      </w:r>
      <w:proofErr w:type="gramEnd"/>
      <w:r>
        <w:rPr>
          <w:rFonts w:ascii="Century Gothic" w:eastAsia="Century Gothic" w:hAnsi="Century Gothic" w:cs="Century Gothic"/>
          <w:sz w:val="22"/>
          <w:szCs w:val="22"/>
        </w:rPr>
        <w:t>. In these cases, schools can charge for providing materials, books, instruments or equipment. The following are optional extras:</w:t>
      </w:r>
    </w:p>
    <w:p w:rsidR="006E43F6" w:rsidRDefault="00FA54BD">
      <w:pPr>
        <w:numPr>
          <w:ilvl w:val="0"/>
          <w:numId w:val="4"/>
        </w:numPr>
        <w:pBdr>
          <w:top w:val="nil"/>
          <w:left w:val="nil"/>
          <w:bottom w:val="nil"/>
          <w:right w:val="nil"/>
          <w:between w:val="nil"/>
        </w:pBdr>
        <w:ind w:left="426" w:firstLine="2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Education provided outside of school time that is not part of:</w:t>
      </w:r>
    </w:p>
    <w:p w:rsidR="006E43F6" w:rsidRDefault="00FA54BD">
      <w:pPr>
        <w:numPr>
          <w:ilvl w:val="1"/>
          <w:numId w:val="4"/>
        </w:numPr>
        <w:ind w:left="1134" w:firstLine="27"/>
        <w:rPr>
          <w:rFonts w:ascii="Century Gothic" w:eastAsia="Century Gothic" w:hAnsi="Century Gothic" w:cs="Century Gothic"/>
          <w:sz w:val="22"/>
          <w:szCs w:val="22"/>
        </w:rPr>
      </w:pPr>
      <w:r>
        <w:rPr>
          <w:rFonts w:ascii="Century Gothic" w:eastAsia="Century Gothic" w:hAnsi="Century Gothic" w:cs="Century Gothic"/>
          <w:sz w:val="22"/>
          <w:szCs w:val="22"/>
        </w:rPr>
        <w:t>The National Curriculum</w:t>
      </w:r>
    </w:p>
    <w:p w:rsidR="006E43F6" w:rsidRDefault="00FA54BD">
      <w:pPr>
        <w:numPr>
          <w:ilvl w:val="1"/>
          <w:numId w:val="4"/>
        </w:numPr>
        <w:pBdr>
          <w:top w:val="nil"/>
          <w:left w:val="nil"/>
          <w:bottom w:val="nil"/>
          <w:right w:val="nil"/>
          <w:between w:val="nil"/>
        </w:pBdr>
        <w:ind w:left="15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 syllabus for a prescribed public examination that the pupil is being prepared for at the school</w:t>
      </w:r>
    </w:p>
    <w:p w:rsidR="006E43F6" w:rsidRDefault="00FA54BD">
      <w:pPr>
        <w:numPr>
          <w:ilvl w:val="1"/>
          <w:numId w:val="4"/>
        </w:numPr>
        <w:ind w:left="1134" w:firstLine="2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Religious education </w:t>
      </w:r>
    </w:p>
    <w:p w:rsidR="006E43F6" w:rsidRDefault="00FA54BD">
      <w:pPr>
        <w:numPr>
          <w:ilvl w:val="0"/>
          <w:numId w:val="8"/>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Examination entry fee(s) if the registered pupil has not been prepared for the examination(s) at the school</w:t>
      </w:r>
    </w:p>
    <w:p w:rsidR="006E43F6" w:rsidRDefault="00FA54BD">
      <w:pPr>
        <w:numPr>
          <w:ilvl w:val="0"/>
          <w:numId w:val="8"/>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Transport (other than transpo</w:t>
      </w:r>
      <w:r>
        <w:rPr>
          <w:rFonts w:ascii="Century Gothic" w:eastAsia="Century Gothic" w:hAnsi="Century Gothic" w:cs="Century Gothic"/>
          <w:color w:val="000000"/>
          <w:sz w:val="22"/>
          <w:szCs w:val="22"/>
        </w:rPr>
        <w:t>rt that is required to take the pupil to school or to other premises where the local authority or governing board has arranged for the pupil to be provided with education)</w:t>
      </w:r>
    </w:p>
    <w:p w:rsidR="006E43F6" w:rsidRDefault="00FA54BD">
      <w:pPr>
        <w:numPr>
          <w:ilvl w:val="0"/>
          <w:numId w:val="8"/>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Board and lodging for a pupil on a residential visit</w:t>
      </w:r>
    </w:p>
    <w:p w:rsidR="006E43F6" w:rsidRDefault="00FA54BD">
      <w:pPr>
        <w:numPr>
          <w:ilvl w:val="0"/>
          <w:numId w:val="8"/>
        </w:numPr>
        <w:pBdr>
          <w:top w:val="nil"/>
          <w:left w:val="nil"/>
          <w:bottom w:val="nil"/>
          <w:right w:val="nil"/>
          <w:between w:val="nil"/>
        </w:pBdr>
        <w:ind w:left="709"/>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Extended day services offered to pupils (such as breakfast clubs, after-school clubs, tea and supervised homework sessions)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When calculating the cost of optional extras, an amount may be included in relation to: </w:t>
      </w:r>
    </w:p>
    <w:p w:rsidR="006E43F6" w:rsidRDefault="00FA54BD">
      <w:pPr>
        <w:numPr>
          <w:ilvl w:val="0"/>
          <w:numId w:val="7"/>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Any materials, books, instruments or equip</w:t>
      </w:r>
      <w:r>
        <w:rPr>
          <w:rFonts w:ascii="Century Gothic" w:eastAsia="Century Gothic" w:hAnsi="Century Gothic" w:cs="Century Gothic"/>
          <w:color w:val="000000"/>
          <w:sz w:val="22"/>
          <w:szCs w:val="22"/>
        </w:rPr>
        <w:t>ment provided in connection with the optional extra</w:t>
      </w:r>
    </w:p>
    <w:p w:rsidR="006E43F6" w:rsidRDefault="00FA54BD">
      <w:pPr>
        <w:numPr>
          <w:ilvl w:val="0"/>
          <w:numId w:val="7"/>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cost of buildings and accommodation</w:t>
      </w:r>
    </w:p>
    <w:p w:rsidR="006E43F6" w:rsidRDefault="00FA54BD">
      <w:pPr>
        <w:numPr>
          <w:ilvl w:val="0"/>
          <w:numId w:val="7"/>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Non-teaching staff</w:t>
      </w:r>
    </w:p>
    <w:p w:rsidR="006E43F6" w:rsidRDefault="00FA54BD">
      <w:pPr>
        <w:numPr>
          <w:ilvl w:val="0"/>
          <w:numId w:val="7"/>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Teaching staff engaged under contracts for services purely to provide an optional extra (including supply teachers engaged specifically to provide the optional extra)</w:t>
      </w:r>
    </w:p>
    <w:p w:rsidR="006E43F6" w:rsidRDefault="00FA54BD">
      <w:pPr>
        <w:numPr>
          <w:ilvl w:val="0"/>
          <w:numId w:val="7"/>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cost, or an appropriate proportion of the costs, for teaching staff employed to provi</w:t>
      </w:r>
      <w:r>
        <w:rPr>
          <w:rFonts w:ascii="Century Gothic" w:eastAsia="Century Gothic" w:hAnsi="Century Gothic" w:cs="Century Gothic"/>
          <w:color w:val="000000"/>
          <w:sz w:val="22"/>
          <w:szCs w:val="22"/>
        </w:rPr>
        <w:t>de tuition in playing a musical instrument, or vocal tuition, where the tuition is an optional extra</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Any charge made in respect of individual pupils will not be greater than the actual cost of providing the optional extra activity, divided equally by the n</w:t>
      </w:r>
      <w:r>
        <w:rPr>
          <w:rFonts w:ascii="Century Gothic" w:eastAsia="Century Gothic" w:hAnsi="Century Gothic" w:cs="Century Gothic"/>
          <w:sz w:val="22"/>
          <w:szCs w:val="22"/>
        </w:rPr>
        <w:t xml:space="preserve">umber of pupils participating.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Any charge will not include an element of subsidy for any other pupils who wish to take part in the activity but whose parents are unwilling or unable to pay the full charge.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In cases where a small proportion of the activit</w:t>
      </w:r>
      <w:r>
        <w:rPr>
          <w:rFonts w:ascii="Century Gothic" w:eastAsia="Century Gothic" w:hAnsi="Century Gothic" w:cs="Century Gothic"/>
          <w:sz w:val="22"/>
          <w:szCs w:val="22"/>
        </w:rPr>
        <w:t xml:space="preserve">y takes place during school hours, the charge cannot include the cost of alternative provision for those pupils who do not wish to participate.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Parental agreement is necessary for the provision of an optional extra which is to be charged for. </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6.3   Music</w:t>
      </w:r>
      <w:r>
        <w:rPr>
          <w:rFonts w:ascii="Century Gothic" w:eastAsia="Century Gothic" w:hAnsi="Century Gothic" w:cs="Century Gothic"/>
          <w:b/>
          <w:sz w:val="22"/>
          <w:szCs w:val="22"/>
        </w:rPr>
        <w:t xml:space="preserve"> tuition</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Schools can charge for vocal or instrumental tuition provided either individually or to groups of pupils, provided that the tuition is provided at the request of the pupil’s parent.</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Charges may not exceed the cost of the provision, including the c</w:t>
      </w:r>
      <w:r>
        <w:rPr>
          <w:rFonts w:ascii="Century Gothic" w:eastAsia="Century Gothic" w:hAnsi="Century Gothic" w:cs="Century Gothic"/>
          <w:sz w:val="22"/>
          <w:szCs w:val="22"/>
        </w:rPr>
        <w:t xml:space="preserve">ost of the staff giving the tuition.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Charges cannot be made:</w:t>
      </w:r>
    </w:p>
    <w:p w:rsidR="006E43F6" w:rsidRDefault="00FA54BD">
      <w:pPr>
        <w:numPr>
          <w:ilvl w:val="0"/>
          <w:numId w:val="9"/>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the teaching is an essential part of the National Curriculum </w:t>
      </w:r>
    </w:p>
    <w:p w:rsidR="006E43F6" w:rsidRDefault="00FA54BD">
      <w:pPr>
        <w:numPr>
          <w:ilvl w:val="0"/>
          <w:numId w:val="9"/>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the teaching is provided under the first access to the Key Stage 2 instrumental and vocal tuition </w:t>
      </w:r>
      <w:proofErr w:type="spellStart"/>
      <w:r>
        <w:rPr>
          <w:rFonts w:ascii="Century Gothic" w:eastAsia="Century Gothic" w:hAnsi="Century Gothic" w:cs="Century Gothic"/>
          <w:color w:val="000000"/>
          <w:sz w:val="22"/>
          <w:szCs w:val="22"/>
        </w:rPr>
        <w:t>programme</w:t>
      </w:r>
      <w:proofErr w:type="spellEnd"/>
    </w:p>
    <w:p w:rsidR="006E43F6" w:rsidRDefault="00FA54BD">
      <w:pPr>
        <w:numPr>
          <w:ilvl w:val="0"/>
          <w:numId w:val="9"/>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For a pupil who is looked after by a local authority </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6.4   Residential visits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can charge for board and lodging on residential visits, but the charge must not exceed the actual cost.  </w:t>
      </w:r>
    </w:p>
    <w:p w:rsidR="006E43F6" w:rsidRDefault="00FA54BD">
      <w:pPr>
        <w:spacing w:before="120"/>
        <w:rPr>
          <w:rFonts w:ascii="Century Gothic" w:eastAsia="Century Gothic" w:hAnsi="Century Gothic" w:cs="Century Gothic"/>
          <w:b/>
          <w:sz w:val="22"/>
          <w:szCs w:val="22"/>
        </w:rPr>
      </w:pPr>
      <w:bookmarkStart w:id="8" w:name="_heading=h.1t3h5sf" w:colFirst="0" w:colLast="0"/>
      <w:bookmarkEnd w:id="8"/>
      <w:r>
        <w:rPr>
          <w:rFonts w:ascii="Century Gothic" w:eastAsia="Century Gothic" w:hAnsi="Century Gothic" w:cs="Century Gothic"/>
          <w:b/>
          <w:sz w:val="22"/>
          <w:szCs w:val="22"/>
        </w:rPr>
        <w:t>7. Voluntary contributions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As an exception to the requirements set o</w:t>
      </w:r>
      <w:r>
        <w:rPr>
          <w:rFonts w:ascii="Century Gothic" w:eastAsia="Century Gothic" w:hAnsi="Century Gothic" w:cs="Century Gothic"/>
          <w:sz w:val="22"/>
          <w:szCs w:val="22"/>
        </w:rPr>
        <w:t xml:space="preserve">ut in section 5 of this policy, the school is able to ask for voluntary contributions from parents to fund activities which would not otherwise be possible.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Some activities for which the school may ask parents for voluntary contributions include: Trips ou</w:t>
      </w:r>
      <w:r>
        <w:rPr>
          <w:rFonts w:ascii="Century Gothic" w:eastAsia="Century Gothic" w:hAnsi="Century Gothic" w:cs="Century Gothic"/>
          <w:sz w:val="22"/>
          <w:szCs w:val="22"/>
        </w:rPr>
        <w:t>tside of the school and visitors.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b/>
          <w:sz w:val="22"/>
          <w:szCs w:val="22"/>
        </w:rPr>
        <w:t>There is no obligation for parents to make any contribution, and no child will be excluded from an activity if their parents are unwilling or unable to pay</w:t>
      </w:r>
      <w:r>
        <w:rPr>
          <w:rFonts w:ascii="Century Gothic" w:eastAsia="Century Gothic" w:hAnsi="Century Gothic" w:cs="Century Gothic"/>
          <w:sz w:val="22"/>
          <w:szCs w:val="22"/>
        </w:rPr>
        <w:t xml:space="preserve">.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If the school is unable to raise enough funds for an activity or</w:t>
      </w:r>
      <w:r>
        <w:rPr>
          <w:rFonts w:ascii="Century Gothic" w:eastAsia="Century Gothic" w:hAnsi="Century Gothic" w:cs="Century Gothic"/>
          <w:sz w:val="22"/>
          <w:szCs w:val="22"/>
        </w:rPr>
        <w:t xml:space="preserve"> visit then it will be cancelled.</w:t>
      </w:r>
    </w:p>
    <w:p w:rsidR="006E43F6" w:rsidRDefault="00FA54BD">
      <w:pPr>
        <w:spacing w:before="120"/>
        <w:rPr>
          <w:rFonts w:ascii="Century Gothic" w:eastAsia="Century Gothic" w:hAnsi="Century Gothic" w:cs="Century Gothic"/>
          <w:b/>
          <w:sz w:val="22"/>
          <w:szCs w:val="22"/>
        </w:rPr>
      </w:pPr>
      <w:bookmarkStart w:id="9" w:name="_heading=h.4d34og8" w:colFirst="0" w:colLast="0"/>
      <w:bookmarkEnd w:id="9"/>
      <w:r>
        <w:rPr>
          <w:rFonts w:ascii="Century Gothic" w:eastAsia="Century Gothic" w:hAnsi="Century Gothic" w:cs="Century Gothic"/>
          <w:b/>
          <w:sz w:val="22"/>
          <w:szCs w:val="22"/>
        </w:rPr>
        <w:t xml:space="preserve">8. Activities we charge for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school will charge for the following activities: </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Trips, visitors, breakfast and after school club, after school extra-curricular clubs, some lunchtime clubs and peripatetic music lessons.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 regular activities, the charges for each activity will be determined by the governing board and reviewed each year. Parents will be informed of the charges each year. </w:t>
      </w:r>
    </w:p>
    <w:p w:rsidR="006E43F6" w:rsidRDefault="00FA54BD">
      <w:pPr>
        <w:spacing w:before="120"/>
        <w:rPr>
          <w:rFonts w:ascii="Century Gothic" w:eastAsia="Century Gothic" w:hAnsi="Century Gothic" w:cs="Century Gothic"/>
          <w:b/>
          <w:sz w:val="22"/>
          <w:szCs w:val="22"/>
        </w:rPr>
      </w:pPr>
      <w:bookmarkStart w:id="10" w:name="_heading=h.2s8eyo1" w:colFirst="0" w:colLast="0"/>
      <w:bookmarkEnd w:id="10"/>
      <w:r>
        <w:rPr>
          <w:rFonts w:ascii="Century Gothic" w:eastAsia="Century Gothic" w:hAnsi="Century Gothic" w:cs="Century Gothic"/>
          <w:b/>
          <w:sz w:val="22"/>
          <w:szCs w:val="22"/>
        </w:rPr>
        <w:t>9. Remissions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In some circumstances, the school may not charge for items or activiti</w:t>
      </w:r>
      <w:r>
        <w:rPr>
          <w:rFonts w:ascii="Century Gothic" w:eastAsia="Century Gothic" w:hAnsi="Century Gothic" w:cs="Century Gothic"/>
          <w:sz w:val="22"/>
          <w:szCs w:val="22"/>
        </w:rPr>
        <w:t>es set out in sections 6 and 8 of this policy. This will be at the discretion of the governing board and will depend on the activity in question.</w:t>
      </w:r>
    </w:p>
    <w:p w:rsidR="006E43F6" w:rsidRDefault="00FA54BD">
      <w:pPr>
        <w:spacing w:before="240"/>
        <w:rPr>
          <w:rFonts w:ascii="Century Gothic" w:eastAsia="Century Gothic" w:hAnsi="Century Gothic" w:cs="Century Gothic"/>
          <w:b/>
          <w:sz w:val="22"/>
          <w:szCs w:val="22"/>
        </w:rPr>
      </w:pPr>
      <w:r>
        <w:rPr>
          <w:rFonts w:ascii="Century Gothic" w:eastAsia="Century Gothic" w:hAnsi="Century Gothic" w:cs="Century Gothic"/>
          <w:b/>
          <w:sz w:val="22"/>
          <w:szCs w:val="22"/>
        </w:rPr>
        <w:t>9.1   Remissions for residential visits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Parents who can prove they are in receipt of any of the following benefits will be exempt from paying the cost of board and lodging for residential visits:</w:t>
      </w:r>
    </w:p>
    <w:p w:rsidR="006E43F6" w:rsidRDefault="00FA54BD">
      <w:pPr>
        <w:numPr>
          <w:ilvl w:val="0"/>
          <w:numId w:val="1"/>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Income Support</w:t>
      </w:r>
    </w:p>
    <w:p w:rsidR="006E43F6" w:rsidRDefault="00FA54BD">
      <w:pPr>
        <w:numPr>
          <w:ilvl w:val="0"/>
          <w:numId w:val="1"/>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Income-based Jobseeker’s Allowance</w:t>
      </w:r>
    </w:p>
    <w:p w:rsidR="006E43F6" w:rsidRDefault="00FA54BD">
      <w:pPr>
        <w:numPr>
          <w:ilvl w:val="0"/>
          <w:numId w:val="1"/>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Income-related Employment and Support Allowance</w:t>
      </w:r>
    </w:p>
    <w:p w:rsidR="006E43F6" w:rsidRDefault="00FA54BD">
      <w:pPr>
        <w:numPr>
          <w:ilvl w:val="0"/>
          <w:numId w:val="1"/>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Su</w:t>
      </w:r>
      <w:r>
        <w:rPr>
          <w:rFonts w:ascii="Century Gothic" w:eastAsia="Century Gothic" w:hAnsi="Century Gothic" w:cs="Century Gothic"/>
          <w:color w:val="000000"/>
          <w:sz w:val="22"/>
          <w:szCs w:val="22"/>
        </w:rPr>
        <w:t>pport under part VI of the Immigration and Asylum Act 1999</w:t>
      </w:r>
    </w:p>
    <w:p w:rsidR="006E43F6" w:rsidRDefault="00FA54BD">
      <w:pPr>
        <w:numPr>
          <w:ilvl w:val="0"/>
          <w:numId w:val="1"/>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guaranteed element of Pension Credit</w:t>
      </w:r>
    </w:p>
    <w:p w:rsidR="006E43F6" w:rsidRDefault="00FA54BD">
      <w:pPr>
        <w:numPr>
          <w:ilvl w:val="0"/>
          <w:numId w:val="1"/>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Child Tax Credit – provided you’re not also entitled to Working Tax Credit and have an annual gross income of no more than £16,190</w:t>
      </w:r>
    </w:p>
    <w:p w:rsidR="006E43F6" w:rsidRDefault="00FA54BD">
      <w:pPr>
        <w:numPr>
          <w:ilvl w:val="0"/>
          <w:numId w:val="1"/>
        </w:numPr>
        <w:pBdr>
          <w:top w:val="nil"/>
          <w:left w:val="nil"/>
          <w:bottom w:val="nil"/>
          <w:right w:val="nil"/>
          <w:between w:val="nil"/>
        </w:pBdr>
        <w:spacing w:after="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Working Tax Credit run-on</w:t>
      </w:r>
      <w:r>
        <w:rPr>
          <w:rFonts w:ascii="Century Gothic" w:eastAsia="Century Gothic" w:hAnsi="Century Gothic" w:cs="Century Gothic"/>
          <w:color w:val="000000"/>
          <w:sz w:val="22"/>
          <w:szCs w:val="22"/>
        </w:rPr>
        <w:t xml:space="preserve"> – paid for 4 weeks after you stop qualifying for Working Tax Credit</w:t>
      </w:r>
    </w:p>
    <w:p w:rsidR="006E43F6" w:rsidRDefault="00FA54BD">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Universal Credit – if you apply on or after 1 April 2018, your household income must be less than £7,400 a year (after tax and not including any benefits you get)</w:t>
      </w:r>
    </w:p>
    <w:p w:rsidR="006E43F6" w:rsidRDefault="00FA54BD">
      <w:pPr>
        <w:spacing w:before="120"/>
        <w:rPr>
          <w:rFonts w:ascii="Century Gothic" w:eastAsia="Century Gothic" w:hAnsi="Century Gothic" w:cs="Century Gothic"/>
          <w:b/>
          <w:sz w:val="22"/>
          <w:szCs w:val="22"/>
        </w:rPr>
      </w:pPr>
      <w:bookmarkStart w:id="11" w:name="_heading=h.17dp8vu" w:colFirst="0" w:colLast="0"/>
      <w:bookmarkEnd w:id="11"/>
      <w:r>
        <w:rPr>
          <w:rFonts w:ascii="Century Gothic" w:eastAsia="Century Gothic" w:hAnsi="Century Gothic" w:cs="Century Gothic"/>
          <w:b/>
          <w:sz w:val="22"/>
          <w:szCs w:val="22"/>
        </w:rPr>
        <w:t>10. Monitoring arrangeme</w:t>
      </w:r>
      <w:r>
        <w:rPr>
          <w:rFonts w:ascii="Century Gothic" w:eastAsia="Century Gothic" w:hAnsi="Century Gothic" w:cs="Century Gothic"/>
          <w:b/>
          <w:sz w:val="22"/>
          <w:szCs w:val="22"/>
        </w:rPr>
        <w:t>nts</w:t>
      </w:r>
    </w:p>
    <w:p w:rsidR="006E43F6" w:rsidRDefault="00FA54BD">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Headteacher monitors charges and remissions, and ensures these comply with this policy. </w:t>
      </w:r>
    </w:p>
    <w:p w:rsidR="006E43F6" w:rsidRDefault="00FA54BD">
      <w:pPr>
        <w:rPr>
          <w:rFonts w:ascii="Century Gothic" w:eastAsia="Century Gothic" w:hAnsi="Century Gothic" w:cs="Century Gothic"/>
          <w:sz w:val="22"/>
          <w:szCs w:val="22"/>
          <w:highlight w:val="yellow"/>
        </w:rPr>
      </w:pPr>
      <w:r>
        <w:rPr>
          <w:rFonts w:ascii="Century Gothic" w:eastAsia="Century Gothic" w:hAnsi="Century Gothic" w:cs="Century Gothic"/>
          <w:sz w:val="22"/>
          <w:szCs w:val="22"/>
        </w:rPr>
        <w:t>This policy will be reviewed and approved by governors every year.</w:t>
      </w:r>
    </w:p>
    <w:sectPr w:rsidR="006E43F6">
      <w:headerReference w:type="even" r:id="rId11"/>
      <w:headerReference w:type="default" r:id="rId12"/>
      <w:headerReference w:type="first" r:id="rId13"/>
      <w:footerReference w:type="first" r:id="rId14"/>
      <w:pgSz w:w="11900" w:h="16840"/>
      <w:pgMar w:top="567"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A54BD">
      <w:pPr>
        <w:spacing w:after="0"/>
      </w:pPr>
      <w:r>
        <w:separator/>
      </w:r>
    </w:p>
  </w:endnote>
  <w:endnote w:type="continuationSeparator" w:id="0">
    <w:p w:rsidR="00000000" w:rsidRDefault="00FA5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3F6" w:rsidRDefault="006E43F6">
    <w:pPr>
      <w:widowControl w:val="0"/>
      <w:pBdr>
        <w:top w:val="nil"/>
        <w:left w:val="nil"/>
        <w:bottom w:val="nil"/>
        <w:right w:val="nil"/>
        <w:between w:val="nil"/>
      </w:pBdr>
      <w:spacing w:after="0" w:line="276" w:lineRule="auto"/>
      <w:rPr>
        <w:rFonts w:eastAsia="Arial"/>
        <w:color w:val="808080"/>
        <w:sz w:val="16"/>
        <w:szCs w:val="16"/>
      </w:rPr>
    </w:pPr>
  </w:p>
  <w:tbl>
    <w:tblPr>
      <w:tblStyle w:val="a"/>
      <w:tblW w:w="9781" w:type="dxa"/>
      <w:tblBorders>
        <w:top w:val="single" w:sz="8" w:space="0" w:color="FF1F64"/>
      </w:tblBorders>
      <w:tblLayout w:type="fixed"/>
      <w:tblLook w:val="0400" w:firstRow="0" w:lastRow="0" w:firstColumn="0" w:lastColumn="0" w:noHBand="0" w:noVBand="1"/>
    </w:tblPr>
    <w:tblGrid>
      <w:gridCol w:w="6379"/>
      <w:gridCol w:w="3402"/>
    </w:tblGrid>
    <w:tr w:rsidR="006E43F6">
      <w:tc>
        <w:tcPr>
          <w:tcW w:w="0" w:type="auto"/>
          <w:shd w:val="clear" w:color="auto" w:fill="auto"/>
        </w:tcPr>
        <w:p w:rsidR="006E43F6" w:rsidRDefault="00FA54BD">
          <w:pPr>
            <w:shd w:val="clear" w:color="auto" w:fill="FFFFFF"/>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6E43F6" w:rsidRDefault="006E43F6">
          <w:pPr>
            <w:shd w:val="clear" w:color="auto" w:fill="FFFFFF"/>
            <w:rPr>
              <w:color w:val="BFBFBF"/>
              <w:sz w:val="17"/>
              <w:szCs w:val="17"/>
            </w:rPr>
          </w:pPr>
        </w:p>
      </w:tc>
    </w:tr>
  </w:tbl>
  <w:p w:rsidR="006E43F6" w:rsidRDefault="00FA54BD">
    <w:pPr>
      <w:pBdr>
        <w:top w:val="nil"/>
        <w:left w:val="nil"/>
        <w:bottom w:val="nil"/>
        <w:right w:val="nil"/>
        <w:between w:val="nil"/>
      </w:pBdr>
      <w:shd w:val="clear" w:color="auto" w:fill="FFFFFF"/>
      <w:rPr>
        <w:rFonts w:eastAsia="Arial"/>
        <w:color w:val="808080"/>
        <w:sz w:val="16"/>
        <w:szCs w:val="16"/>
      </w:rPr>
    </w:pPr>
    <w:r>
      <w:rPr>
        <w:rFonts w:eastAsia="Arial"/>
        <w:color w:val="000000"/>
        <w:sz w:val="16"/>
        <w:szCs w:val="16"/>
      </w:rPr>
      <w:t>Page</w:t>
    </w:r>
    <w:r>
      <w:rPr>
        <w:rFonts w:eastAsia="Arial"/>
        <w:b/>
        <w:color w:val="808080"/>
        <w:sz w:val="16"/>
        <w:szCs w:val="16"/>
      </w:rPr>
      <w:t xml:space="preserve"> </w:t>
    </w:r>
    <w:r>
      <w:rPr>
        <w:rFonts w:eastAsia="Arial"/>
        <w:b/>
        <w:color w:val="FF1F64"/>
        <w:sz w:val="16"/>
        <w:szCs w:val="16"/>
      </w:rPr>
      <w:t>|</w:t>
    </w:r>
    <w:r>
      <w:rPr>
        <w:rFonts w:eastAsia="Arial"/>
        <w:color w:val="808080"/>
        <w:sz w:val="16"/>
        <w:szCs w:val="16"/>
      </w:rPr>
      <w:t xml:space="preserve"> </w:t>
    </w:r>
    <w:r>
      <w:rPr>
        <w:rFonts w:eastAsia="Arial"/>
        <w:color w:val="000000"/>
        <w:sz w:val="16"/>
        <w:szCs w:val="16"/>
      </w:rPr>
      <w:fldChar w:fldCharType="begin"/>
    </w:r>
    <w:r>
      <w:rPr>
        <w:rFonts w:eastAsia="Arial"/>
        <w:color w:val="000000"/>
        <w:sz w:val="16"/>
        <w:szCs w:val="16"/>
      </w:rPr>
      <w:instrText>PAGE</w:instrText>
    </w:r>
    <w:r>
      <w:rPr>
        <w:rFonts w:eastAsia="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A54BD">
      <w:pPr>
        <w:spacing w:after="0"/>
      </w:pPr>
      <w:r>
        <w:separator/>
      </w:r>
    </w:p>
  </w:footnote>
  <w:footnote w:type="continuationSeparator" w:id="0">
    <w:p w:rsidR="00000000" w:rsidRDefault="00FA5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3F6" w:rsidRDefault="00FA54BD">
    <w:r>
      <w:rPr>
        <w:noProof/>
      </w:rPr>
      <w:drawing>
        <wp:anchor distT="0" distB="0" distL="0" distR="0" simplePos="0" relativeHeight="251657216" behindDoc="1" locked="0" layoutInCell="1" hidden="0" allowOverlap="1">
          <wp:simplePos x="0" y="0"/>
          <wp:positionH relativeFrom="margin">
            <wp:align>center</wp:align>
          </wp:positionH>
          <wp:positionV relativeFrom="margin">
            <wp:align>center</wp:align>
          </wp:positionV>
          <wp:extent cx="7558405" cy="10695940"/>
          <wp:effectExtent l="0" t="0" r="0" b="0"/>
          <wp:wrapNone/>
          <wp:docPr id="4" name="image2.png" descr="keydocs-background-banner"/>
          <wp:cNvGraphicFramePr/>
          <a:graphic xmlns:a="http://schemas.openxmlformats.org/drawingml/2006/main">
            <a:graphicData uri="http://schemas.openxmlformats.org/drawingml/2006/picture">
              <pic:pic xmlns:pic="http://schemas.openxmlformats.org/drawingml/2006/picture">
                <pic:nvPicPr>
                  <pic:cNvPr id="0" name="image2.png" descr="keydocs-background-banner"/>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15pt;height:842.2pt;z-index:-251658240;mso-position-horizontal:center;mso-position-horizontal-relative:margin;mso-position-vertical:center;mso-position-vertical-relative:margin">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3F6" w:rsidRDefault="006E43F6"/>
  <w:p w:rsidR="006E43F6" w:rsidRDefault="006E43F6"/>
  <w:p w:rsidR="006E43F6" w:rsidRDefault="006E43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3F6" w:rsidRDefault="006E43F6"/>
  <w:p w:rsidR="006E43F6" w:rsidRDefault="006E43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5B0A"/>
    <w:multiLevelType w:val="multilevel"/>
    <w:tmpl w:val="98DE04F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 w15:restartNumberingAfterBreak="0">
    <w:nsid w:val="2F0C1A2D"/>
    <w:multiLevelType w:val="multilevel"/>
    <w:tmpl w:val="DA66019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3E2B2D9B"/>
    <w:multiLevelType w:val="multilevel"/>
    <w:tmpl w:val="853A9EE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 w15:restartNumberingAfterBreak="0">
    <w:nsid w:val="3F7E0DD4"/>
    <w:multiLevelType w:val="multilevel"/>
    <w:tmpl w:val="743A44A0"/>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F444F6"/>
    <w:multiLevelType w:val="multilevel"/>
    <w:tmpl w:val="852211A2"/>
    <w:lvl w:ilvl="0">
      <w:start w:val="1"/>
      <w:numFmt w:val="bullet"/>
      <w:pStyle w:val="Bulletedcopylevel2"/>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15:restartNumberingAfterBreak="0">
    <w:nsid w:val="42A90A26"/>
    <w:multiLevelType w:val="multilevel"/>
    <w:tmpl w:val="E3E67546"/>
    <w:lvl w:ilvl="0">
      <w:start w:val="1"/>
      <w:numFmt w:val="bullet"/>
      <w:lvlText w:val="●"/>
      <w:lvlJc w:val="left"/>
      <w:pPr>
        <w:ind w:left="907" w:hanging="170"/>
      </w:pPr>
      <w:rPr>
        <w:rFonts w:ascii="Noto Sans Symbols" w:eastAsia="Noto Sans Symbols" w:hAnsi="Noto Sans Symbols" w:cs="Noto Sans Symbols"/>
      </w:rPr>
    </w:lvl>
    <w:lvl w:ilvl="1">
      <w:start w:val="1"/>
      <w:numFmt w:val="bullet"/>
      <w:lvlText w:val="o"/>
      <w:lvlJc w:val="left"/>
      <w:pPr>
        <w:ind w:left="2177" w:hanging="360"/>
      </w:pPr>
      <w:rPr>
        <w:rFonts w:ascii="Courier New" w:eastAsia="Courier New" w:hAnsi="Courier New" w:cs="Courier New"/>
      </w:rPr>
    </w:lvl>
    <w:lvl w:ilvl="2">
      <w:start w:val="1"/>
      <w:numFmt w:val="bullet"/>
      <w:lvlText w:val="▪"/>
      <w:lvlJc w:val="left"/>
      <w:pPr>
        <w:ind w:left="2897" w:hanging="360"/>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6" w15:restartNumberingAfterBreak="0">
    <w:nsid w:val="50EA698C"/>
    <w:multiLevelType w:val="multilevel"/>
    <w:tmpl w:val="EE1A09BA"/>
    <w:lvl w:ilvl="0">
      <w:start w:val="1"/>
      <w:numFmt w:val="bullet"/>
      <w:lvlText w:val="●"/>
      <w:lvlJc w:val="left"/>
      <w:pPr>
        <w:ind w:left="2347"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 w15:restartNumberingAfterBreak="0">
    <w:nsid w:val="73E26488"/>
    <w:multiLevelType w:val="multilevel"/>
    <w:tmpl w:val="2070AC3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 w15:restartNumberingAfterBreak="0">
    <w:nsid w:val="77874B14"/>
    <w:multiLevelType w:val="multilevel"/>
    <w:tmpl w:val="2B7EF7B4"/>
    <w:lvl w:ilvl="0">
      <w:start w:val="1"/>
      <w:numFmt w:val="bullet"/>
      <w:lvlText w:val="●"/>
      <w:lvlJc w:val="left"/>
      <w:pPr>
        <w:ind w:left="907" w:hanging="170"/>
      </w:pPr>
      <w:rPr>
        <w:rFonts w:ascii="Noto Sans Symbols" w:eastAsia="Noto Sans Symbols" w:hAnsi="Noto Sans Symbols" w:cs="Noto Sans Symbols"/>
      </w:rPr>
    </w:lvl>
    <w:lvl w:ilvl="1">
      <w:start w:val="1"/>
      <w:numFmt w:val="bullet"/>
      <w:lvlText w:val="●"/>
      <w:lvlJc w:val="left"/>
      <w:pPr>
        <w:ind w:left="2177" w:hanging="360"/>
      </w:pPr>
      <w:rPr>
        <w:rFonts w:ascii="Noto Sans Symbols" w:eastAsia="Noto Sans Symbols" w:hAnsi="Noto Sans Symbols" w:cs="Noto Sans Symbols"/>
      </w:rPr>
    </w:lvl>
    <w:lvl w:ilvl="2">
      <w:start w:val="1"/>
      <w:numFmt w:val="bullet"/>
      <w:lvlText w:val="▪"/>
      <w:lvlJc w:val="left"/>
      <w:pPr>
        <w:ind w:left="2897" w:hanging="360"/>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9" w15:restartNumberingAfterBreak="0">
    <w:nsid w:val="7EEB5D80"/>
    <w:multiLevelType w:val="multilevel"/>
    <w:tmpl w:val="8D34AE9A"/>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num w:numId="1">
    <w:abstractNumId w:val="9"/>
  </w:num>
  <w:num w:numId="2">
    <w:abstractNumId w:val="7"/>
  </w:num>
  <w:num w:numId="3">
    <w:abstractNumId w:val="0"/>
  </w:num>
  <w:num w:numId="4">
    <w:abstractNumId w:val="5"/>
  </w:num>
  <w:num w:numId="5">
    <w:abstractNumId w:val="2"/>
  </w:num>
  <w:num w:numId="6">
    <w:abstractNumId w:val="6"/>
  </w:num>
  <w:num w:numId="7">
    <w:abstractNumId w:val="4"/>
  </w:num>
  <w:num w:numId="8">
    <w:abstractNumId w:val="8"/>
  </w:num>
  <w:num w:numId="9">
    <w:abstractNumId w:val="1"/>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F6"/>
    <w:rsid w:val="006E43F6"/>
    <w:rsid w:val="00FA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B76820-C71D-48B4-A514-A7402B4F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6C2"/>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b/>
      <w:color w:val="FF1F64"/>
      <w:sz w:val="28"/>
      <w:szCs w:val="36"/>
      <w:lang w:val="en-GB"/>
    </w:rPr>
  </w:style>
  <w:style w:type="paragraph" w:styleId="Heading2">
    <w:name w:val="heading 2"/>
    <w:basedOn w:val="2Subheadpink"/>
    <w:next w:val="Normal"/>
    <w:link w:val="Heading2Char"/>
    <w:uiPriority w:val="9"/>
    <w:semiHidden/>
    <w:unhideWhenUsed/>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semiHidden/>
    <w:unhideWhenUsed/>
    <w:qFormat/>
    <w:rsid w:val="00CC51B6"/>
    <w:pPr>
      <w:keepNext/>
      <w:keepLines/>
      <w:spacing w:before="120"/>
      <w:outlineLvl w:val="2"/>
    </w:pPr>
    <w:rPr>
      <w:rFonts w:eastAsia="MS Gothic"/>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line="259" w:lineRule="auto"/>
    </w:pPr>
    <w:rPr>
      <w:rFonts w:eastAsia="MS Mincho"/>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b/>
      <w:sz w:val="24"/>
      <w:szCs w:val="20"/>
    </w:rPr>
  </w:style>
  <w:style w:type="paragraph" w:customStyle="1" w:styleId="7DOsbullet">
    <w:name w:val="7 DOs bullet"/>
    <w:basedOn w:val="Normal"/>
    <w:rsid w:val="00B846C2"/>
    <w:pPr>
      <w:tabs>
        <w:tab w:val="num" w:pos="720"/>
      </w:tabs>
      <w:ind w:left="720" w:right="284" w:hanging="720"/>
    </w:pPr>
    <w:rPr>
      <w:b/>
      <w:sz w:val="24"/>
      <w:szCs w:val="20"/>
    </w:rPr>
  </w:style>
  <w:style w:type="paragraph" w:customStyle="1" w:styleId="4Bulletedcopyblue">
    <w:name w:val="4 Bulleted copy blue"/>
    <w:basedOn w:val="Normal"/>
    <w:qFormat/>
    <w:rsid w:val="00B846C2"/>
    <w:pPr>
      <w:tabs>
        <w:tab w:val="num" w:pos="720"/>
      </w:tabs>
      <w:ind w:left="720" w:hanging="720"/>
    </w:pPr>
    <w:rPr>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tabs>
        <w:tab w:val="num" w:pos="720"/>
      </w:tabs>
      <w:ind w:left="720" w:right="567" w:hanging="720"/>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tabs>
        <w:tab w:val="num" w:pos="720"/>
      </w:tabs>
      <w:spacing w:before="120"/>
      <w:ind w:left="720" w:right="850" w:hanging="720"/>
    </w:pPr>
    <w:rPr>
      <w:b/>
      <w:bCs/>
      <w:color w:val="12263F"/>
      <w:sz w:val="32"/>
      <w:szCs w:val="32"/>
    </w:rPr>
  </w:style>
  <w:style w:type="paragraph" w:customStyle="1" w:styleId="1bodycopy11pt">
    <w:name w:val="1 body copy 11pt"/>
    <w:autoRedefine/>
    <w:rsid w:val="00B846C2"/>
    <w:pPr>
      <w:ind w:right="850"/>
    </w:pPr>
    <w:rPr>
      <w:rFonts w:eastAsia="MS Mincho"/>
      <w:sz w:val="22"/>
      <w:szCs w:val="24"/>
      <w:lang w:val="en-US" w:eastAsia="en-US"/>
    </w:rPr>
  </w:style>
  <w:style w:type="character" w:customStyle="1" w:styleId="SubheadwithpointerChar">
    <w:name w:val="Subhead with pointer Char"/>
    <w:link w:val="Subheadwithpointer"/>
    <w:rsid w:val="00C31397"/>
    <w:rPr>
      <w:rFonts w:eastAsia="MS Mincho"/>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tabs>
        <w:tab w:val="num" w:pos="720"/>
      </w:tabs>
      <w:ind w:left="720" w:hanging="720"/>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ging-for-school-activit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tatutory-policies-for-schools-and-academy-trusts/statutory-policies-for-schools-and-academy-trusts" TargetMode="External"/><Relationship Id="rId4" Type="http://schemas.openxmlformats.org/officeDocument/2006/relationships/settings" Target="settings.xml"/><Relationship Id="rId9" Type="http://schemas.openxmlformats.org/officeDocument/2006/relationships/hyperlink" Target="http://www.legislation.gov.uk/ukpga/1996/56/part/VI/chapter/II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mkqxzU3rW+X9+eAmJtOZq2ttg==">CgMxLjAyCGguZ2pkZ3hzMgloLjMwajB6bGwyCWguMWZvYjl0ZTIJaC4zem55c2g3MgloLjJldDkycDAyCGgudHlqY3d0MgloLjNkeTZ2a20yCWguMXQzaDVzZjIJaC40ZDM0b2c4MgloLjJzOGV5bzEyCWguMTdkcDh2dTgAciExNzU2cm9UWlg1OVZUUU9Pdjd1R0xXZW5ORi13YTluSlg=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Nicki</cp:lastModifiedBy>
  <cp:revision>2</cp:revision>
  <dcterms:created xsi:type="dcterms:W3CDTF">2024-10-09T16:33:00Z</dcterms:created>
  <dcterms:modified xsi:type="dcterms:W3CDTF">2024-10-09T16:33:00Z</dcterms:modified>
</cp:coreProperties>
</file>