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539" w:rsidRPr="00C842A2" w:rsidRDefault="00482539" w:rsidP="00075E6D">
      <w:pPr>
        <w:jc w:val="center"/>
        <w:rPr>
          <w:rFonts w:ascii="Century Gothic" w:hAnsi="Century Gothic"/>
          <w:b/>
          <w:color w:val="00B0F0"/>
        </w:rPr>
      </w:pPr>
      <w:r w:rsidRPr="00FC6EFF">
        <w:rPr>
          <w:rFonts w:ascii="Century Gothic" w:hAnsi="Century Gothic"/>
          <w:b/>
        </w:rPr>
        <w:t>Russell Lower School</w:t>
      </w:r>
      <w:r w:rsidR="00075E6D" w:rsidRPr="00FC6EFF">
        <w:rPr>
          <w:rFonts w:ascii="Century Gothic" w:hAnsi="Century Gothic"/>
          <w:b/>
        </w:rPr>
        <w:t xml:space="preserve"> - </w:t>
      </w:r>
      <w:r w:rsidR="005705DD" w:rsidRPr="00FC6EFF">
        <w:rPr>
          <w:rFonts w:ascii="Century Gothic" w:hAnsi="Century Gothic"/>
          <w:b/>
        </w:rPr>
        <w:t>Pupil Premium</w:t>
      </w:r>
      <w:r w:rsidR="00FC6EFF">
        <w:rPr>
          <w:rFonts w:ascii="Century Gothic" w:hAnsi="Century Gothic"/>
          <w:b/>
        </w:rPr>
        <w:t xml:space="preserve"> Executive</w:t>
      </w:r>
      <w:r w:rsidRPr="00FC6EFF">
        <w:rPr>
          <w:rFonts w:ascii="Century Gothic" w:hAnsi="Century Gothic"/>
          <w:b/>
        </w:rPr>
        <w:t xml:space="preserve"> summary</w:t>
      </w:r>
      <w:r w:rsidR="00FC6EFF" w:rsidRPr="00FC6EFF">
        <w:rPr>
          <w:rFonts w:ascii="Century Gothic" w:hAnsi="Century Gothic"/>
          <w:b/>
        </w:rPr>
        <w:t xml:space="preserve"> 2021- 22</w:t>
      </w:r>
      <w:r w:rsidR="006C4C9D">
        <w:rPr>
          <w:rFonts w:ascii="Century Gothic" w:hAnsi="Century Gothic"/>
          <w:b/>
        </w:rPr>
        <w:t xml:space="preserve"> – </w:t>
      </w:r>
      <w:r w:rsidR="006C4C9D">
        <w:rPr>
          <w:rFonts w:ascii="Century Gothic" w:hAnsi="Century Gothic"/>
          <w:b/>
          <w:color w:val="00B050"/>
        </w:rPr>
        <w:t>Feb 22 update</w:t>
      </w:r>
      <w:r w:rsidR="00C842A2">
        <w:rPr>
          <w:rFonts w:ascii="Century Gothic" w:hAnsi="Century Gothic"/>
          <w:b/>
          <w:color w:val="00B050"/>
        </w:rPr>
        <w:t xml:space="preserve"> </w:t>
      </w:r>
      <w:r w:rsidR="00C842A2">
        <w:rPr>
          <w:rFonts w:ascii="Century Gothic" w:hAnsi="Century Gothic"/>
          <w:b/>
          <w:color w:val="C45911" w:themeColor="accent2" w:themeShade="BF"/>
        </w:rPr>
        <w:t xml:space="preserve">June 22update </w:t>
      </w:r>
      <w:r w:rsidR="00C842A2">
        <w:rPr>
          <w:rFonts w:ascii="Century Gothic" w:hAnsi="Century Gothic"/>
          <w:b/>
          <w:color w:val="00B0F0"/>
        </w:rPr>
        <w:t>data July 2021</w:t>
      </w:r>
    </w:p>
    <w:p w:rsidR="00FC6EFF" w:rsidRDefault="00FC6EFF" w:rsidP="00FC6EFF">
      <w:pPr>
        <w:contextualSpacing/>
        <w:rPr>
          <w:rFonts w:ascii="Century Gothic" w:hAnsi="Century Gothic" w:cs="Arial"/>
          <w:b/>
          <w:color w:val="000000" w:themeColor="text1"/>
          <w:sz w:val="20"/>
          <w:szCs w:val="20"/>
          <w:u w:val="single"/>
        </w:rPr>
      </w:pPr>
      <w:r w:rsidRPr="00FC6EFF">
        <w:rPr>
          <w:rFonts w:ascii="Century Gothic" w:hAnsi="Century Gothic" w:cs="Arial"/>
          <w:b/>
          <w:color w:val="000000" w:themeColor="text1"/>
          <w:sz w:val="20"/>
          <w:szCs w:val="20"/>
          <w:u w:val="single"/>
        </w:rPr>
        <w:t>Intent and Implementation:</w:t>
      </w:r>
    </w:p>
    <w:p w:rsidR="00FC6EFF" w:rsidRPr="00FC6EFF" w:rsidRDefault="00FC6EFF" w:rsidP="00FC6EFF">
      <w:pPr>
        <w:contextualSpacing/>
        <w:rPr>
          <w:rFonts w:ascii="Century Gothic" w:hAnsi="Century Gothic" w:cs="Arial"/>
          <w:b/>
          <w:color w:val="000000" w:themeColor="text1"/>
          <w:sz w:val="20"/>
          <w:szCs w:val="20"/>
          <w:u w:val="single"/>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At Russell Lower School as of 2021-2022 we have adopted the </w:t>
      </w:r>
      <w:r w:rsidRPr="00FC6EFF">
        <w:rPr>
          <w:rFonts w:ascii="Century Gothic" w:hAnsi="Century Gothic" w:cs="Arial"/>
          <w:b/>
          <w:color w:val="000000" w:themeColor="text1"/>
          <w:sz w:val="20"/>
          <w:szCs w:val="20"/>
        </w:rPr>
        <w:t>RADY (raising the attainment of disadvantaged youngsters)</w:t>
      </w:r>
      <w:r w:rsidRPr="00FC6EFF">
        <w:rPr>
          <w:rFonts w:ascii="Century Gothic" w:hAnsi="Century Gothic" w:cs="Arial"/>
          <w:color w:val="000000" w:themeColor="text1"/>
          <w:sz w:val="20"/>
          <w:szCs w:val="20"/>
        </w:rPr>
        <w:t xml:space="preserve"> approach. It is our intent to:</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expectations;</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awareness;</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aspirations;</w:t>
      </w:r>
    </w:p>
    <w:p w:rsidR="00FC6EFF" w:rsidRPr="00FC6EFF" w:rsidRDefault="00FC6EFF" w:rsidP="00FC6EFF">
      <w:pPr>
        <w:pStyle w:val="NoSpacing"/>
        <w:jc w:val="center"/>
        <w:rPr>
          <w:rFonts w:ascii="Century Gothic" w:hAnsi="Century Gothic"/>
          <w:b/>
          <w:sz w:val="20"/>
          <w:szCs w:val="20"/>
        </w:rPr>
      </w:pPr>
    </w:p>
    <w:p w:rsidR="00FC6EFF" w:rsidRDefault="00FC6EFF" w:rsidP="00FC6EFF">
      <w:pPr>
        <w:rPr>
          <w:rFonts w:ascii="Century Gothic" w:hAnsi="Century Gothic" w:cs="Arial"/>
          <w:sz w:val="20"/>
          <w:szCs w:val="20"/>
        </w:rPr>
      </w:pPr>
      <w:r w:rsidRPr="00FC6EFF">
        <w:rPr>
          <w:rFonts w:ascii="Century Gothic" w:hAnsi="Century Gothic" w:cs="Arial"/>
          <w:sz w:val="20"/>
          <w:szCs w:val="20"/>
        </w:rPr>
        <w:t xml:space="preserve">in order to close gaps between our disadvantaged pupils and their non-disadvantaged peers both in terms of attainment and holistic opportunities and experiences through focusing on </w:t>
      </w:r>
      <w:r w:rsidRPr="00FC6EFF">
        <w:rPr>
          <w:rFonts w:ascii="Century Gothic" w:hAnsi="Century Gothic" w:cs="Arial"/>
          <w:b/>
          <w:sz w:val="20"/>
          <w:szCs w:val="20"/>
        </w:rPr>
        <w:t>equity not equality</w:t>
      </w:r>
      <w:r w:rsidRPr="00FC6EFF">
        <w:rPr>
          <w:rFonts w:ascii="Century Gothic" w:hAnsi="Century Gothic" w:cs="Arial"/>
          <w:sz w:val="20"/>
          <w:szCs w:val="20"/>
        </w:rPr>
        <w:t>.</w:t>
      </w:r>
    </w:p>
    <w:p w:rsidR="00FC6EFF" w:rsidRPr="00FC6EFF" w:rsidRDefault="00FC6EFF" w:rsidP="00FC6EFF">
      <w:pPr>
        <w:rPr>
          <w:rFonts w:ascii="Century Gothic" w:hAnsi="Century Gothic" w:cs="Arial"/>
          <w:sz w:val="20"/>
          <w:szCs w:val="20"/>
        </w:rPr>
      </w:pPr>
    </w:p>
    <w:p w:rsidR="009F34DD" w:rsidRDefault="00FC6EFF" w:rsidP="00075E6D">
      <w:pPr>
        <w:jc w:val="center"/>
        <w:rPr>
          <w:rFonts w:ascii="Century Gothic" w:hAnsi="Century Gothic"/>
          <w:b/>
          <w:sz w:val="20"/>
          <w:szCs w:val="20"/>
          <w:u w:val="single"/>
        </w:rPr>
      </w:pPr>
      <w:r w:rsidRPr="00FC6EFF">
        <w:rPr>
          <w:rFonts w:ascii="Century Gothic" w:hAnsi="Century Gothic"/>
          <w:b/>
          <w:noProof/>
          <w:sz w:val="20"/>
          <w:szCs w:val="20"/>
          <w:u w:val="single"/>
        </w:rPr>
        <w:drawing>
          <wp:inline distT="0" distB="0" distL="0" distR="0" wp14:anchorId="687799B4" wp14:editId="66E2EE93">
            <wp:extent cx="6011114" cy="327705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1114" cy="3277057"/>
                    </a:xfrm>
                    <a:prstGeom prst="rect">
                      <a:avLst/>
                    </a:prstGeom>
                  </pic:spPr>
                </pic:pic>
              </a:graphicData>
            </a:graphic>
          </wp:inline>
        </w:drawing>
      </w:r>
    </w:p>
    <w:p w:rsidR="00FC6EFF" w:rsidRDefault="00FC6EFF" w:rsidP="00FC6EFF">
      <w:pPr>
        <w:contextualSpacing/>
        <w:rPr>
          <w:rFonts w:ascii="Century Gothic" w:hAnsi="Century Gothic" w:cs="Arial"/>
          <w:color w:val="000000" w:themeColor="text1"/>
          <w:sz w:val="20"/>
          <w:szCs w:val="20"/>
        </w:rPr>
      </w:pPr>
    </w:p>
    <w:p w:rsidR="005D44CA"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Research states that disadvantaged pupils have been disproportionately affected by the pandemic. In order to address this our strategy is integral to wider school plans and our SDP ‘golden threads’ for whole school improvement and education recovery</w:t>
      </w:r>
      <w:r w:rsidR="005D44CA">
        <w:rPr>
          <w:rFonts w:ascii="Century Gothic" w:hAnsi="Century Gothic" w:cs="Arial"/>
          <w:color w:val="000000" w:themeColor="text1"/>
          <w:sz w:val="20"/>
          <w:szCs w:val="20"/>
        </w:rPr>
        <w:t>:</w:t>
      </w:r>
    </w:p>
    <w:p w:rsidR="005D44CA" w:rsidRDefault="005D44CA" w:rsidP="00FC6EFF">
      <w:pPr>
        <w:contextualSpacing/>
        <w:rPr>
          <w:rFonts w:ascii="Century Gothic" w:hAnsi="Century Gothic" w:cs="Arial"/>
          <w:color w:val="000000" w:themeColor="text1"/>
          <w:sz w:val="20"/>
          <w:szCs w:val="20"/>
        </w:rPr>
      </w:pPr>
    </w:p>
    <w:p w:rsidR="005D44CA" w:rsidRDefault="005D44CA" w:rsidP="00FC6EFF">
      <w:pPr>
        <w:contextualSpacing/>
        <w:rPr>
          <w:rFonts w:ascii="Century Gothic" w:hAnsi="Century Gothic" w:cs="Arial"/>
          <w:color w:val="000000" w:themeColor="text1"/>
          <w:sz w:val="20"/>
          <w:szCs w:val="20"/>
        </w:rPr>
      </w:pPr>
    </w:p>
    <w:p w:rsidR="005D44CA" w:rsidRDefault="005D44CA" w:rsidP="00FC6EFF">
      <w:pPr>
        <w:contextualSpacing/>
        <w:rPr>
          <w:rFonts w:ascii="Century Gothic" w:hAnsi="Century Gothic" w:cs="Arial"/>
          <w:color w:val="000000" w:themeColor="text1"/>
          <w:sz w:val="20"/>
          <w:szCs w:val="20"/>
        </w:rPr>
      </w:pPr>
    </w:p>
    <w:p w:rsidR="005D44CA" w:rsidRPr="005D44CA" w:rsidRDefault="005D44CA" w:rsidP="00FC6EFF">
      <w:pPr>
        <w:contextualSpacing/>
        <w:rPr>
          <w:rFonts w:ascii="Century Gothic" w:hAnsi="Century Gothic" w:cs="Arial"/>
          <w:b/>
          <w:color w:val="000000" w:themeColor="text1"/>
          <w:sz w:val="20"/>
          <w:szCs w:val="20"/>
        </w:rPr>
      </w:pPr>
      <w:r w:rsidRPr="005D44CA">
        <w:rPr>
          <w:rFonts w:ascii="Century Gothic" w:hAnsi="Century Gothic" w:cs="Arial"/>
          <w:b/>
          <w:color w:val="000000" w:themeColor="text1"/>
          <w:sz w:val="20"/>
          <w:szCs w:val="20"/>
        </w:rPr>
        <w:lastRenderedPageBreak/>
        <w:t>Golden Threads 2021/22:</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b/>
          <w:color w:val="000000"/>
          <w:sz w:val="20"/>
          <w:szCs w:val="20"/>
        </w:rPr>
        <w:t>‘</w:t>
      </w:r>
      <w:r w:rsidRPr="005D44CA">
        <w:rPr>
          <w:rFonts w:ascii="Century Gothic" w:eastAsia="Century Gothic" w:hAnsi="Century Gothic" w:cs="Century Gothic"/>
          <w:color w:val="000000"/>
          <w:sz w:val="20"/>
          <w:szCs w:val="20"/>
        </w:rPr>
        <w:t>Visible consistencies’ - good teaching everywhere by staff who care</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Broad, balanced, ambitious coherently sequenced curriculum</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Inclusive – QFT - everything taking place in the classroom wherever possible</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Disadvantaged children’s needs addressed first</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Know our children well and plan to meet social, emotional and academic needs</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Good health (mental and physical) and well-being for all the community through the primacy of relationships</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High expectations of what children can know, do and understand: attainment, progress and behaviour</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roofErr w:type="spellStart"/>
      <w:r w:rsidRPr="005D44CA">
        <w:rPr>
          <w:rFonts w:ascii="Century Gothic" w:eastAsia="Century Gothic" w:hAnsi="Century Gothic" w:cs="Century Gothic"/>
          <w:color w:val="000000"/>
          <w:sz w:val="20"/>
          <w:szCs w:val="20"/>
        </w:rPr>
        <w:t>Oracy</w:t>
      </w:r>
      <w:proofErr w:type="spellEnd"/>
      <w:r w:rsidRPr="005D44CA">
        <w:rPr>
          <w:rFonts w:ascii="Century Gothic" w:eastAsia="Century Gothic" w:hAnsi="Century Gothic" w:cs="Century Gothic"/>
          <w:color w:val="000000"/>
          <w:sz w:val="20"/>
          <w:szCs w:val="20"/>
        </w:rPr>
        <w:t xml:space="preserve"> and vocabulary at the heart of everything through active adult interactions</w:t>
      </w:r>
    </w:p>
    <w:p w:rsidR="005D44CA" w:rsidRPr="005D44CA" w:rsidRDefault="005D44CA" w:rsidP="005D44CA">
      <w:pPr>
        <w:pStyle w:val="ListParagraph"/>
        <w:numPr>
          <w:ilvl w:val="0"/>
          <w:numId w:val="1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5D44CA">
        <w:rPr>
          <w:rFonts w:ascii="Century Gothic" w:eastAsia="Century Gothic" w:hAnsi="Century Gothic" w:cs="Century Gothic"/>
          <w:color w:val="000000"/>
          <w:sz w:val="20"/>
          <w:szCs w:val="20"/>
        </w:rPr>
        <w:t>Team around the child: school, home, community</w:t>
      </w:r>
    </w:p>
    <w:p w:rsidR="005D44CA" w:rsidRDefault="005D44CA" w:rsidP="00FC6EFF">
      <w:pPr>
        <w:contextualSpacing/>
        <w:rPr>
          <w:rFonts w:ascii="Century Gothic" w:hAnsi="Century Gothic" w:cs="Arial"/>
          <w:color w:val="000000" w:themeColor="text1"/>
          <w:sz w:val="20"/>
          <w:szCs w:val="20"/>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 We understand that by developing evidence-based practices (which we have been focussing on for several years now) that support our disadvantaged pupils we will also be enhancing staff skills and provisions for </w:t>
      </w:r>
      <w:r w:rsidRPr="00FC6EFF">
        <w:rPr>
          <w:rFonts w:ascii="Century Gothic" w:hAnsi="Century Gothic" w:cs="Arial"/>
          <w:i/>
          <w:color w:val="000000" w:themeColor="text1"/>
          <w:sz w:val="20"/>
          <w:szCs w:val="20"/>
          <w:u w:val="single"/>
        </w:rPr>
        <w:t>all</w:t>
      </w:r>
      <w:r w:rsidRPr="00FC6EFF">
        <w:rPr>
          <w:rFonts w:ascii="Century Gothic" w:hAnsi="Century Gothic" w:cs="Arial"/>
          <w:color w:val="000000" w:themeColor="text1"/>
          <w:sz w:val="20"/>
          <w:szCs w:val="20"/>
        </w:rPr>
        <w:t xml:space="preserve"> pupils. </w:t>
      </w:r>
    </w:p>
    <w:p w:rsidR="00FC6EFF" w:rsidRPr="00FC6EFF" w:rsidRDefault="00FC6EFF" w:rsidP="00FC6EFF">
      <w:pPr>
        <w:contextualSpacing/>
        <w:rPr>
          <w:rFonts w:ascii="Century Gothic" w:hAnsi="Century Gothic" w:cs="Arial"/>
          <w:color w:val="000000" w:themeColor="text1"/>
          <w:sz w:val="20"/>
          <w:szCs w:val="20"/>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At Russell Lower high-quality teaching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rsidR="00FC6EFF" w:rsidRPr="00FC6EFF" w:rsidRDefault="00FC6EFF" w:rsidP="00FC6EFF">
      <w:pPr>
        <w:contextualSpacing/>
        <w:rPr>
          <w:rFonts w:ascii="Century Gothic" w:hAnsi="Century Gothic" w:cs="Arial"/>
          <w:color w:val="000000" w:themeColor="text1"/>
          <w:sz w:val="20"/>
          <w:szCs w:val="20"/>
        </w:rPr>
      </w:pPr>
    </w:p>
    <w:p w:rsidR="00FC6EFF" w:rsidRDefault="00FC6EFF" w:rsidP="00FC6EFF">
      <w:pPr>
        <w:contextualSpacing/>
        <w:rPr>
          <w:rFonts w:ascii="Century Gothic" w:hAnsi="Century Gothic" w:cs="Arial"/>
          <w:color w:val="000000" w:themeColor="text1"/>
        </w:rPr>
      </w:pPr>
      <w:r w:rsidRPr="00FC6EFF">
        <w:rPr>
          <w:rFonts w:ascii="Century Gothic" w:hAnsi="Century Gothic" w:cs="Arial"/>
          <w:color w:val="000000" w:themeColor="text1"/>
          <w:sz w:val="20"/>
          <w:szCs w:val="20"/>
        </w:rPr>
        <w:t>We also continue to make use of targeted support through the National Tutoring Programme for pupils whose education has been worst affected, including non-disadvantaged pupils with us making use of Tuition Partners (Third Space maths) and school led tutoring</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(KS2 Reading Fluency).  In addition, we use our own ’experts’ to deliver evidence-based interventions such as NELI, colourful semantics. Soundswrite Phonics, Precision teaching, Switch On reading and writing and Pre-teach.</w:t>
      </w:r>
      <w:r w:rsidRPr="00FC6EFF">
        <w:rPr>
          <w:rFonts w:ascii="Century Gothic" w:hAnsi="Century Gothic" w:cs="Arial"/>
          <w:color w:val="000000" w:themeColor="text1"/>
        </w:rPr>
        <w:t xml:space="preserve"> </w:t>
      </w:r>
    </w:p>
    <w:p w:rsidR="00CB2E2F" w:rsidRPr="00CB2E2F" w:rsidRDefault="00CB2E2F" w:rsidP="00FC6EFF">
      <w:pPr>
        <w:contextualSpacing/>
        <w:rPr>
          <w:rFonts w:ascii="Century Gothic" w:hAnsi="Century Gothic" w:cs="Arial"/>
          <w:color w:val="000000" w:themeColor="text1"/>
          <w:sz w:val="16"/>
          <w:szCs w:val="16"/>
        </w:rPr>
      </w:pPr>
    </w:p>
    <w:p w:rsidR="00FC6EFF" w:rsidRPr="00FC6EFF" w:rsidRDefault="00FC6EFF" w:rsidP="00FC6EFF">
      <w:pPr>
        <w:contextualSpacing/>
        <w:rPr>
          <w:rFonts w:ascii="Century Gothic" w:hAnsi="Century Gothic" w:cs="Arial"/>
          <w:sz w:val="20"/>
          <w:szCs w:val="20"/>
        </w:rPr>
      </w:pPr>
      <w:r w:rsidRPr="00FC6EFF">
        <w:rPr>
          <w:rFonts w:ascii="Century Gothic" w:hAnsi="Century Gothic" w:cs="Arial"/>
          <w:color w:val="000000" w:themeColor="text1"/>
          <w:sz w:val="20"/>
          <w:szCs w:val="20"/>
        </w:rPr>
        <w:t xml:space="preserve">We believe </w:t>
      </w:r>
      <w:r w:rsidRPr="00FC6EFF">
        <w:rPr>
          <w:rFonts w:ascii="Century Gothic" w:hAnsi="Century Gothic" w:cs="Arial"/>
          <w:b/>
          <w:color w:val="000000" w:themeColor="text1"/>
          <w:sz w:val="20"/>
          <w:szCs w:val="20"/>
        </w:rPr>
        <w:t>accurate early identification of need and knowing our pupils well</w:t>
      </w:r>
      <w:r w:rsidRPr="00FC6EFF">
        <w:rPr>
          <w:rFonts w:ascii="Century Gothic" w:hAnsi="Century Gothic" w:cs="Arial"/>
          <w:color w:val="000000" w:themeColor="text1"/>
          <w:sz w:val="20"/>
          <w:szCs w:val="20"/>
        </w:rPr>
        <w:t xml:space="preserve"> is key in supporting our disadvantaged pupils to make good progress and achieve high attainment in all subject areas. For this reason, teachers carry out </w:t>
      </w:r>
      <w:r w:rsidRPr="00FC6EFF">
        <w:rPr>
          <w:rFonts w:ascii="Century Gothic" w:hAnsi="Century Gothic" w:cs="Arial"/>
          <w:b/>
          <w:color w:val="000000" w:themeColor="text1"/>
          <w:sz w:val="20"/>
          <w:szCs w:val="20"/>
        </w:rPr>
        <w:t>PP passports within the first two weeks</w:t>
      </w:r>
      <w:r w:rsidRPr="00FC6EFF">
        <w:rPr>
          <w:rFonts w:ascii="Century Gothic" w:hAnsi="Century Gothic" w:cs="Arial"/>
          <w:color w:val="000000" w:themeColor="text1"/>
          <w:sz w:val="20"/>
          <w:szCs w:val="20"/>
        </w:rPr>
        <w:t xml:space="preserve"> of pupils returning to school and </w:t>
      </w:r>
      <w:r w:rsidRPr="00FC6EFF">
        <w:rPr>
          <w:rFonts w:ascii="Century Gothic" w:hAnsi="Century Gothic" w:cs="Arial"/>
          <w:b/>
          <w:color w:val="000000" w:themeColor="text1"/>
          <w:sz w:val="20"/>
          <w:szCs w:val="20"/>
        </w:rPr>
        <w:t>appropriate support/p</w:t>
      </w:r>
      <w:r w:rsidRPr="00FC6EFF">
        <w:rPr>
          <w:rFonts w:ascii="Century Gothic" w:hAnsi="Century Gothic" w:cs="Arial"/>
          <w:b/>
          <w:sz w:val="20"/>
          <w:szCs w:val="20"/>
        </w:rPr>
        <w:t>rovisions are identified and set up by the end of the third week</w:t>
      </w:r>
      <w:r w:rsidRPr="00FC6EFF">
        <w:rPr>
          <w:rFonts w:ascii="Century Gothic" w:hAnsi="Century Gothic" w:cs="Arial"/>
          <w:sz w:val="20"/>
          <w:szCs w:val="20"/>
        </w:rPr>
        <w:t xml:space="preserve"> back in September.</w:t>
      </w:r>
    </w:p>
    <w:p w:rsidR="00FC6EFF" w:rsidRPr="00FC6EFF" w:rsidRDefault="00FC6EFF" w:rsidP="00FC6EFF">
      <w:pPr>
        <w:contextualSpacing/>
        <w:rPr>
          <w:rFonts w:ascii="Century Gothic" w:hAnsi="Century Gothic" w:cs="Arial"/>
          <w:sz w:val="20"/>
          <w:szCs w:val="20"/>
        </w:rPr>
      </w:pPr>
    </w:p>
    <w:p w:rsidR="00FC6EFF" w:rsidRPr="00CB2E2F" w:rsidRDefault="00FC6EFF" w:rsidP="00FC6EFF">
      <w:pPr>
        <w:contextualSpacing/>
        <w:rPr>
          <w:rFonts w:ascii="Century Gothic" w:hAnsi="Century Gothic" w:cs="Arial"/>
          <w:color w:val="00B050"/>
          <w:sz w:val="20"/>
          <w:szCs w:val="20"/>
        </w:rPr>
      </w:pPr>
      <w:r w:rsidRPr="00FC6EFF">
        <w:rPr>
          <w:rFonts w:ascii="Century Gothic" w:hAnsi="Century Gothic" w:cs="Arial"/>
          <w:color w:val="000000" w:themeColor="text1"/>
          <w:sz w:val="20"/>
          <w:szCs w:val="20"/>
        </w:rPr>
        <w:t xml:space="preserve">We also believe </w:t>
      </w:r>
      <w:r w:rsidRPr="00FC6EFF">
        <w:rPr>
          <w:rFonts w:ascii="Century Gothic" w:hAnsi="Century Gothic" w:cs="Arial"/>
          <w:b/>
          <w:color w:val="000000" w:themeColor="text1"/>
          <w:sz w:val="20"/>
          <w:szCs w:val="20"/>
        </w:rPr>
        <w:t>engagement of our PP/vulnerable families is key</w:t>
      </w:r>
      <w:r w:rsidRPr="00FC6EFF">
        <w:rPr>
          <w:rFonts w:ascii="Century Gothic" w:hAnsi="Century Gothic" w:cs="Arial"/>
          <w:color w:val="000000" w:themeColor="text1"/>
          <w:sz w:val="20"/>
          <w:szCs w:val="20"/>
        </w:rPr>
        <w:t xml:space="preserve"> and continue to develop our communication with these families whilst being mindful to protect these families from any kind of stigmatisation or stereotyping. We invite them to contribute (via Your thoughts questionnaire) to influence the provision their children receive so that it has the greatest impact on raising attainment.</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We also create (autumn term) and share with parents and staff (spring term) PP Passports for all our disadvantaged (PP and SEND) children.</w:t>
      </w:r>
    </w:p>
    <w:p w:rsidR="00FC6EFF" w:rsidRPr="00FC6EFF" w:rsidRDefault="00FC6EFF" w:rsidP="00FC6EFF">
      <w:pPr>
        <w:contextualSpacing/>
        <w:rPr>
          <w:rFonts w:ascii="Century Gothic" w:hAnsi="Century Gothic" w:cs="Arial"/>
          <w:color w:val="000000" w:themeColor="text1"/>
          <w:sz w:val="20"/>
          <w:szCs w:val="20"/>
        </w:rPr>
      </w:pPr>
    </w:p>
    <w:p w:rsidR="00FC6EFF" w:rsidRDefault="00FC6EFF" w:rsidP="00FC6EFF">
      <w:pPr>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Through robust diagnostic assessment carried out by Phase Leaders, the Inclusion Lead (PP lead), the Deputy Head (PP strategy lead) and the Headteacher supported by LSAs and class teachers during </w:t>
      </w:r>
      <w:r w:rsidRPr="00FC6EFF">
        <w:rPr>
          <w:rFonts w:ascii="Century Gothic" w:hAnsi="Century Gothic" w:cs="Arial"/>
          <w:b/>
          <w:color w:val="000000" w:themeColor="text1"/>
          <w:sz w:val="20"/>
          <w:szCs w:val="20"/>
        </w:rPr>
        <w:t>half termly</w:t>
      </w:r>
      <w:r w:rsidRPr="00FC6EFF">
        <w:rPr>
          <w:rFonts w:ascii="Century Gothic" w:hAnsi="Century Gothic" w:cs="Arial"/>
          <w:color w:val="000000" w:themeColor="text1"/>
          <w:sz w:val="20"/>
          <w:szCs w:val="20"/>
        </w:rPr>
        <w:t xml:space="preserve"> </w:t>
      </w:r>
      <w:r w:rsidRPr="00FC6EFF">
        <w:rPr>
          <w:rFonts w:ascii="Century Gothic" w:hAnsi="Century Gothic" w:cs="Arial"/>
          <w:b/>
          <w:color w:val="000000" w:themeColor="text1"/>
          <w:sz w:val="20"/>
          <w:szCs w:val="20"/>
        </w:rPr>
        <w:t>PP meetings/Pupil Progress Meetings</w:t>
      </w:r>
      <w:r w:rsidRPr="00FC6EFF">
        <w:rPr>
          <w:rFonts w:ascii="Century Gothic" w:hAnsi="Century Gothic" w:cs="Arial"/>
          <w:color w:val="000000" w:themeColor="text1"/>
          <w:sz w:val="20"/>
          <w:szCs w:val="20"/>
        </w:rPr>
        <w:t xml:space="preserve"> (PPMs) we are able to ensure our approach to supporting our disadvantaged pupils is responsive to common challenges and individual needs.</w:t>
      </w:r>
    </w:p>
    <w:p w:rsidR="00FC6EFF" w:rsidRDefault="00FC6EFF" w:rsidP="00FC6EFF">
      <w:pPr>
        <w:rPr>
          <w:rFonts w:ascii="Century Gothic" w:hAnsi="Century Gothic" w:cs="Arial"/>
          <w:color w:val="000000" w:themeColor="text1"/>
          <w:sz w:val="20"/>
          <w:szCs w:val="20"/>
        </w:rPr>
      </w:pPr>
    </w:p>
    <w:p w:rsidR="00FC6EFF" w:rsidRDefault="00FC6EFF" w:rsidP="00FC6EFF">
      <w:pPr>
        <w:rPr>
          <w:rFonts w:ascii="Century Gothic" w:hAnsi="Century Gothic" w:cs="Arial"/>
          <w:color w:val="000000" w:themeColor="text1"/>
          <w:sz w:val="20"/>
          <w:szCs w:val="20"/>
        </w:rPr>
      </w:pPr>
    </w:p>
    <w:p w:rsidR="005D44CA" w:rsidRDefault="005D44CA" w:rsidP="00FC6EFF">
      <w:pPr>
        <w:rPr>
          <w:rFonts w:ascii="Century Gothic" w:hAnsi="Century Gothic" w:cs="Arial"/>
          <w:color w:val="000000" w:themeColor="text1"/>
          <w:sz w:val="20"/>
          <w:szCs w:val="20"/>
        </w:rPr>
      </w:pPr>
    </w:p>
    <w:p w:rsidR="005D44CA" w:rsidRDefault="005D44CA" w:rsidP="00FC6EFF">
      <w:pPr>
        <w:rPr>
          <w:rFonts w:ascii="Century Gothic" w:hAnsi="Century Gothic" w:cs="Arial"/>
          <w:color w:val="000000" w:themeColor="text1"/>
          <w:sz w:val="20"/>
          <w:szCs w:val="20"/>
        </w:rPr>
      </w:pPr>
    </w:p>
    <w:p w:rsidR="00FC6EFF" w:rsidRDefault="00FC6EFF" w:rsidP="00FC6EFF">
      <w:pPr>
        <w:rPr>
          <w:rFonts w:ascii="Century Gothic" w:hAnsi="Century Gothic" w:cs="Arial"/>
          <w:color w:val="000000" w:themeColor="text1"/>
          <w:sz w:val="20"/>
          <w:szCs w:val="20"/>
        </w:rPr>
      </w:pPr>
      <w:r w:rsidRPr="00FC6EFF">
        <w:rPr>
          <w:rFonts w:ascii="Century Gothic" w:hAnsi="Century Gothic" w:cs="Arial"/>
          <w:b/>
          <w:color w:val="000000" w:themeColor="text1"/>
          <w:sz w:val="20"/>
          <w:szCs w:val="20"/>
          <w:u w:val="single"/>
        </w:rPr>
        <w:t>Impact</w:t>
      </w:r>
      <w:r w:rsidR="008B5E5E">
        <w:rPr>
          <w:rFonts w:ascii="Century Gothic" w:hAnsi="Century Gothic" w:cs="Arial"/>
          <w:b/>
          <w:color w:val="000000" w:themeColor="text1"/>
          <w:sz w:val="20"/>
          <w:szCs w:val="20"/>
          <w:u w:val="single"/>
        </w:rPr>
        <w:t xml:space="preserve"> summary</w:t>
      </w:r>
      <w:r w:rsidRPr="00FC6EFF">
        <w:rPr>
          <w:rFonts w:ascii="Century Gothic" w:hAnsi="Century Gothic" w:cs="Arial"/>
          <w:b/>
          <w:color w:val="000000" w:themeColor="text1"/>
          <w:sz w:val="20"/>
          <w:szCs w:val="20"/>
          <w:u w:val="single"/>
        </w:rPr>
        <w:t>:</w:t>
      </w:r>
      <w:r>
        <w:rPr>
          <w:rFonts w:ascii="Century Gothic" w:hAnsi="Century Gothic" w:cs="Arial"/>
          <w:color w:val="000000" w:themeColor="text1"/>
          <w:sz w:val="20"/>
          <w:szCs w:val="20"/>
        </w:rPr>
        <w:t xml:space="preserve"> (July 2021 and Autumn term 2021/22</w:t>
      </w:r>
      <w:r w:rsidR="00CB2E2F">
        <w:rPr>
          <w:rFonts w:ascii="Century Gothic" w:hAnsi="Century Gothic" w:cs="Arial"/>
          <w:color w:val="000000" w:themeColor="text1"/>
          <w:sz w:val="20"/>
          <w:szCs w:val="20"/>
        </w:rPr>
        <w:t xml:space="preserve">, </w:t>
      </w:r>
      <w:r w:rsidR="00CB2E2F" w:rsidRPr="00CB2E2F">
        <w:rPr>
          <w:rFonts w:ascii="Century Gothic" w:hAnsi="Century Gothic" w:cs="Arial"/>
          <w:color w:val="00B050"/>
          <w:sz w:val="20"/>
          <w:szCs w:val="20"/>
        </w:rPr>
        <w:t>Feb 22</w:t>
      </w:r>
      <w:r w:rsidR="000D3376">
        <w:rPr>
          <w:rFonts w:ascii="Century Gothic" w:hAnsi="Century Gothic" w:cs="Arial"/>
          <w:color w:val="00B050"/>
          <w:sz w:val="20"/>
          <w:szCs w:val="20"/>
        </w:rPr>
        <w:t xml:space="preserve">, </w:t>
      </w:r>
      <w:r w:rsidR="000D3376">
        <w:rPr>
          <w:rFonts w:ascii="Century Gothic" w:hAnsi="Century Gothic" w:cs="Arial"/>
          <w:color w:val="C45911" w:themeColor="accent2" w:themeShade="BF"/>
          <w:sz w:val="20"/>
          <w:szCs w:val="20"/>
        </w:rPr>
        <w:t>July 22</w:t>
      </w:r>
      <w:r>
        <w:rPr>
          <w:rFonts w:ascii="Century Gothic" w:hAnsi="Century Gothic" w:cs="Arial"/>
          <w:color w:val="000000" w:themeColor="text1"/>
          <w:sz w:val="20"/>
          <w:szCs w:val="20"/>
        </w:rPr>
        <w:t>)</w:t>
      </w:r>
    </w:p>
    <w:p w:rsidR="00FC6EFF" w:rsidRDefault="00FC6EFF"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During the academic year 2020/21, we successfully narrowed the gap for our PP children in all 3 core subject areas</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(data)</w:t>
      </w:r>
      <w:r w:rsidR="008B5E5E">
        <w:rPr>
          <w:rFonts w:ascii="Century Gothic" w:hAnsi="Century Gothic" w:cs="Arial"/>
          <w:color w:val="C45911" w:themeColor="accent2" w:themeShade="BF"/>
          <w:sz w:val="20"/>
          <w:szCs w:val="20"/>
        </w:rPr>
        <w:t>In 2021/22, we successfully narrowed the gap further in reading and maths, but the gap widened by 2% in writing.  This needs to be a focus next year.</w:t>
      </w:r>
    </w:p>
    <w:p w:rsidR="00FC6EFF" w:rsidRDefault="00FC6EFF"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PP children are known well by all staff</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(PP LA Deep Dive Oct ’21)</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This continues to be the case.</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PP children attend well – above the NA for PP children </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(See table below)</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PP children as a group attend about as well as all children (93% compared to 93.5% for all children), but PP children do have higher persistent absence (whole school 17% June 2022, PP (10/36 are PA = 28%).  This needs to continue to be a focus next year</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PP children are a high priority in school in all areas</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(PP strategy/SDP/RADY/Inclusion Lead role)</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Unquestionably</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Golden thread</w:t>
      </w:r>
      <w:r w:rsidR="008B5E5E">
        <w:rPr>
          <w:rFonts w:ascii="Century Gothic" w:hAnsi="Century Gothic" w:cs="Arial"/>
          <w:color w:val="000000" w:themeColor="text1"/>
          <w:sz w:val="20"/>
          <w:szCs w:val="20"/>
        </w:rPr>
        <w:t>s</w:t>
      </w:r>
      <w:r>
        <w:rPr>
          <w:rFonts w:ascii="Century Gothic" w:hAnsi="Century Gothic" w:cs="Arial"/>
          <w:color w:val="000000" w:themeColor="text1"/>
          <w:sz w:val="20"/>
          <w:szCs w:val="20"/>
        </w:rPr>
        <w:t xml:space="preserve"> are woven through the SDP to enable consistency and best practice across the school</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(SDP)</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This has worked well, and the theme of next year will be more of the same, and even further simplified, where possible</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The RADY project has begun in Year 4 during 2021/22 and the school is now working with Challenging Education</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(SDP)</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Aspects of this will be rolled out across the school next year (i.e. table, talk and carpet partners at least 5 ‘ranks’ above)</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A LA Deep Dive into PP returned a ‘good judgement’ in October 2021</w:t>
      </w:r>
      <w:r w:rsidR="00CB2E2F">
        <w:rPr>
          <w:rFonts w:ascii="Century Gothic" w:hAnsi="Century Gothic" w:cs="Arial"/>
          <w:color w:val="00B050"/>
          <w:sz w:val="20"/>
          <w:szCs w:val="20"/>
        </w:rPr>
        <w:t>(PP LA Deep Dive Oct ’21)</w:t>
      </w:r>
      <w:r w:rsidR="008B5E5E">
        <w:rPr>
          <w:rFonts w:ascii="Century Gothic" w:hAnsi="Century Gothic" w:cs="Arial"/>
          <w:color w:val="C45911" w:themeColor="accent2" w:themeShade="BF"/>
          <w:sz w:val="20"/>
          <w:szCs w:val="20"/>
        </w:rPr>
        <w:t>We will run our own version of this in 22/23</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Interventions target PP children first and are having at least the expected impact, and often more than expected</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(Autumn intervention analysis, KS2 reading fluency impact)</w:t>
      </w:r>
      <w:r w:rsidR="008B5E5E">
        <w:rPr>
          <w:rFonts w:ascii="Century Gothic" w:hAnsi="Century Gothic" w:cs="Arial"/>
          <w:color w:val="C45911" w:themeColor="accent2" w:themeShade="BF"/>
          <w:sz w:val="20"/>
          <w:szCs w:val="20"/>
        </w:rPr>
        <w:t>Provisions continue to have a positive impact (see below)</w:t>
      </w:r>
    </w:p>
    <w:p w:rsidR="008E267B" w:rsidRDefault="008E267B" w:rsidP="008E267B">
      <w:pPr>
        <w:rPr>
          <w:rFonts w:ascii="Century Gothic" w:hAnsi="Century Gothic" w:cs="Arial"/>
          <w:color w:val="000000" w:themeColor="text1"/>
          <w:sz w:val="20"/>
          <w:szCs w:val="20"/>
        </w:rPr>
      </w:pPr>
    </w:p>
    <w:tbl>
      <w:tblPr>
        <w:tblStyle w:val="TableGrid"/>
        <w:tblW w:w="15628" w:type="dxa"/>
        <w:tblLayout w:type="fixed"/>
        <w:tblLook w:val="04A0" w:firstRow="1" w:lastRow="0" w:firstColumn="1" w:lastColumn="0" w:noHBand="0" w:noVBand="1"/>
      </w:tblPr>
      <w:tblGrid>
        <w:gridCol w:w="4172"/>
        <w:gridCol w:w="6738"/>
        <w:gridCol w:w="4718"/>
      </w:tblGrid>
      <w:tr w:rsidR="00482539" w:rsidTr="002C3B2A">
        <w:trPr>
          <w:trHeight w:val="258"/>
        </w:trPr>
        <w:tc>
          <w:tcPr>
            <w:tcW w:w="4172" w:type="dxa"/>
          </w:tcPr>
          <w:p w:rsidR="00482539" w:rsidRPr="00772ED6" w:rsidRDefault="00091115" w:rsidP="00482539">
            <w:pPr>
              <w:jc w:val="center"/>
              <w:rPr>
                <w:rFonts w:ascii="Century Gothic" w:hAnsi="Century Gothic"/>
                <w:b/>
                <w:sz w:val="20"/>
                <w:szCs w:val="20"/>
              </w:rPr>
            </w:pPr>
            <w:r w:rsidRPr="00772ED6">
              <w:rPr>
                <w:rFonts w:ascii="Century Gothic" w:hAnsi="Century Gothic"/>
                <w:b/>
                <w:sz w:val="20"/>
                <w:szCs w:val="20"/>
              </w:rPr>
              <w:t>Historically</w:t>
            </w:r>
          </w:p>
        </w:tc>
        <w:tc>
          <w:tcPr>
            <w:tcW w:w="6738" w:type="dxa"/>
          </w:tcPr>
          <w:p w:rsidR="00482539" w:rsidRPr="00772ED6" w:rsidRDefault="000B500E" w:rsidP="00482539">
            <w:pPr>
              <w:jc w:val="center"/>
              <w:rPr>
                <w:rFonts w:ascii="Century Gothic" w:hAnsi="Century Gothic"/>
                <w:b/>
                <w:sz w:val="20"/>
                <w:szCs w:val="20"/>
              </w:rPr>
            </w:pPr>
            <w:r w:rsidRPr="00772ED6">
              <w:rPr>
                <w:rFonts w:ascii="Century Gothic" w:hAnsi="Century Gothic"/>
                <w:b/>
                <w:sz w:val="20"/>
                <w:szCs w:val="20"/>
              </w:rPr>
              <w:t>End of last year 2020-2021</w:t>
            </w:r>
          </w:p>
        </w:tc>
        <w:tc>
          <w:tcPr>
            <w:tcW w:w="4718" w:type="dxa"/>
          </w:tcPr>
          <w:p w:rsidR="00482539" w:rsidRPr="00772ED6" w:rsidRDefault="00FE72D7" w:rsidP="00FE72D7">
            <w:pPr>
              <w:jc w:val="center"/>
              <w:rPr>
                <w:rFonts w:ascii="Century Gothic" w:hAnsi="Century Gothic"/>
                <w:b/>
                <w:sz w:val="20"/>
                <w:szCs w:val="20"/>
              </w:rPr>
            </w:pPr>
            <w:r>
              <w:rPr>
                <w:rFonts w:ascii="Century Gothic" w:hAnsi="Century Gothic"/>
                <w:b/>
                <w:sz w:val="20"/>
                <w:szCs w:val="20"/>
              </w:rPr>
              <w:t>2021-2022</w:t>
            </w:r>
          </w:p>
        </w:tc>
      </w:tr>
      <w:tr w:rsidR="00207616" w:rsidTr="002C3B2A">
        <w:trPr>
          <w:trHeight w:val="258"/>
        </w:trPr>
        <w:tc>
          <w:tcPr>
            <w:tcW w:w="4172" w:type="dxa"/>
          </w:tcPr>
          <w:p w:rsidR="00975A53" w:rsidRPr="0064188C" w:rsidRDefault="00975A53" w:rsidP="00975A53">
            <w:pPr>
              <w:rPr>
                <w:rFonts w:ascii="Century Gothic" w:hAnsi="Century Gothic"/>
                <w:sz w:val="18"/>
                <w:szCs w:val="18"/>
              </w:rPr>
            </w:pPr>
            <w:r w:rsidRPr="0064188C">
              <w:rPr>
                <w:rFonts w:ascii="Century Gothic" w:hAnsi="Century Gothic"/>
                <w:sz w:val="18"/>
                <w:szCs w:val="18"/>
              </w:rPr>
              <w:t>Data taken from whole school summary for summer 2019</w:t>
            </w:r>
          </w:p>
          <w:p w:rsidR="00975A53" w:rsidRPr="0064188C" w:rsidRDefault="00975A53" w:rsidP="00975A53">
            <w:pPr>
              <w:rPr>
                <w:rFonts w:ascii="Century Gothic" w:hAnsi="Century Gothic"/>
                <w:sz w:val="18"/>
                <w:szCs w:val="18"/>
              </w:rPr>
            </w:pPr>
          </w:p>
          <w:p w:rsidR="00E97F17" w:rsidRPr="0064188C" w:rsidRDefault="00207616" w:rsidP="00207616">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By the end of 2018-2019 we were successfully narrowing attainment gaps </w:t>
            </w:r>
            <w:r w:rsidRPr="0064188C">
              <w:rPr>
                <w:rFonts w:ascii="Century Gothic" w:hAnsi="Century Gothic"/>
                <w:b/>
                <w:sz w:val="18"/>
                <w:szCs w:val="18"/>
              </w:rPr>
              <w:t>(this was being measured as PP against all)</w:t>
            </w:r>
            <w:r w:rsidRPr="0064188C">
              <w:rPr>
                <w:rFonts w:ascii="Century Gothic" w:hAnsi="Century Gothic"/>
                <w:sz w:val="18"/>
                <w:szCs w:val="18"/>
              </w:rPr>
              <w:t xml:space="preserve"> </w:t>
            </w:r>
          </w:p>
          <w:p w:rsidR="00E97F17" w:rsidRPr="0064188C" w:rsidRDefault="00207616"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R</w:t>
            </w:r>
            <w:r w:rsidR="00E97F17" w:rsidRPr="0064188C">
              <w:rPr>
                <w:rFonts w:ascii="Century Gothic" w:hAnsi="Century Gothic"/>
                <w:sz w:val="18"/>
                <w:szCs w:val="18"/>
              </w:rPr>
              <w:t xml:space="preserve">eading </w:t>
            </w:r>
            <w:r w:rsidRPr="0064188C">
              <w:rPr>
                <w:rFonts w:ascii="Century Gothic" w:hAnsi="Century Gothic"/>
                <w:sz w:val="18"/>
                <w:szCs w:val="18"/>
              </w:rPr>
              <w:t>-</w:t>
            </w:r>
            <w:r w:rsidR="00975A53" w:rsidRPr="0064188C">
              <w:rPr>
                <w:rFonts w:ascii="Century Gothic" w:hAnsi="Century Gothic"/>
                <w:sz w:val="18"/>
                <w:szCs w:val="18"/>
              </w:rPr>
              <w:t>7</w:t>
            </w:r>
            <w:r w:rsidR="00E97F17" w:rsidRPr="0064188C">
              <w:rPr>
                <w:rFonts w:ascii="Century Gothic" w:hAnsi="Century Gothic"/>
                <w:sz w:val="18"/>
                <w:szCs w:val="18"/>
              </w:rPr>
              <w:t>%</w:t>
            </w:r>
            <w:r w:rsidR="009466B6" w:rsidRPr="0064188C">
              <w:rPr>
                <w:rFonts w:ascii="Century Gothic" w:hAnsi="Century Gothic"/>
                <w:sz w:val="18"/>
                <w:szCs w:val="18"/>
              </w:rPr>
              <w:t xml:space="preserve">  </w:t>
            </w:r>
          </w:p>
          <w:p w:rsidR="00E97F17" w:rsidRPr="0064188C" w:rsidRDefault="00207616"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Wr</w:t>
            </w:r>
            <w:r w:rsidR="00E97F17" w:rsidRPr="0064188C">
              <w:rPr>
                <w:rFonts w:ascii="Century Gothic" w:hAnsi="Century Gothic"/>
                <w:sz w:val="18"/>
                <w:szCs w:val="18"/>
              </w:rPr>
              <w:t xml:space="preserve">iting </w:t>
            </w:r>
            <w:r w:rsidRPr="0064188C">
              <w:rPr>
                <w:rFonts w:ascii="Century Gothic" w:hAnsi="Century Gothic"/>
                <w:sz w:val="18"/>
                <w:szCs w:val="18"/>
              </w:rPr>
              <w:t>-</w:t>
            </w:r>
            <w:r w:rsidR="00975A53" w:rsidRPr="0064188C">
              <w:rPr>
                <w:rFonts w:ascii="Century Gothic" w:hAnsi="Century Gothic"/>
                <w:sz w:val="18"/>
                <w:szCs w:val="18"/>
              </w:rPr>
              <w:t>14</w:t>
            </w:r>
            <w:r w:rsidR="00E97F17" w:rsidRPr="0064188C">
              <w:rPr>
                <w:rFonts w:ascii="Century Gothic" w:hAnsi="Century Gothic"/>
                <w:sz w:val="18"/>
                <w:szCs w:val="18"/>
              </w:rPr>
              <w:t xml:space="preserve">% </w:t>
            </w:r>
          </w:p>
          <w:p w:rsidR="00207616" w:rsidRPr="0064188C" w:rsidRDefault="00E97F17"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 xml:space="preserve">Maths </w:t>
            </w:r>
            <w:r w:rsidR="00207616" w:rsidRPr="0064188C">
              <w:rPr>
                <w:rFonts w:ascii="Century Gothic" w:hAnsi="Century Gothic"/>
                <w:sz w:val="18"/>
                <w:szCs w:val="18"/>
              </w:rPr>
              <w:t>-</w:t>
            </w:r>
            <w:r w:rsidR="00751042" w:rsidRPr="0064188C">
              <w:rPr>
                <w:rFonts w:ascii="Century Gothic" w:hAnsi="Century Gothic"/>
                <w:sz w:val="18"/>
                <w:szCs w:val="18"/>
              </w:rPr>
              <w:t>14</w:t>
            </w:r>
            <w:r w:rsidRPr="0064188C">
              <w:rPr>
                <w:rFonts w:ascii="Century Gothic" w:hAnsi="Century Gothic"/>
                <w:sz w:val="18"/>
                <w:szCs w:val="18"/>
              </w:rPr>
              <w:t>%</w:t>
            </w:r>
            <w:r w:rsidR="009466B6" w:rsidRPr="0064188C">
              <w:rPr>
                <w:rFonts w:ascii="Century Gothic" w:hAnsi="Century Gothic"/>
                <w:sz w:val="18"/>
                <w:szCs w:val="18"/>
              </w:rPr>
              <w:t xml:space="preserve"> </w:t>
            </w:r>
          </w:p>
          <w:p w:rsidR="00751042" w:rsidRPr="0064188C" w:rsidRDefault="00751042" w:rsidP="00751042">
            <w:pPr>
              <w:rPr>
                <w:rFonts w:ascii="Century Gothic" w:hAnsi="Century Gothic"/>
                <w:b/>
                <w:sz w:val="18"/>
                <w:szCs w:val="18"/>
              </w:rPr>
            </w:pPr>
          </w:p>
        </w:tc>
        <w:tc>
          <w:tcPr>
            <w:tcW w:w="6738" w:type="dxa"/>
          </w:tcPr>
          <w:p w:rsidR="00DE79AA" w:rsidRPr="0064188C" w:rsidRDefault="00DE79AA" w:rsidP="00DE79AA">
            <w:pPr>
              <w:rPr>
                <w:rFonts w:ascii="Century Gothic" w:hAnsi="Century Gothic"/>
                <w:sz w:val="18"/>
                <w:szCs w:val="18"/>
              </w:rPr>
            </w:pPr>
            <w:r w:rsidRPr="0064188C">
              <w:rPr>
                <w:rFonts w:ascii="Century Gothic" w:hAnsi="Century Gothic"/>
                <w:sz w:val="18"/>
                <w:szCs w:val="18"/>
              </w:rPr>
              <w:t>All data taken from PP tracking/attainment and progress document</w:t>
            </w:r>
          </w:p>
          <w:p w:rsidR="00DE79AA" w:rsidRPr="0064188C" w:rsidRDefault="00DE79AA" w:rsidP="00DE79AA">
            <w:pPr>
              <w:rPr>
                <w:rFonts w:ascii="Century Gothic" w:hAnsi="Century Gothic"/>
                <w:sz w:val="18"/>
                <w:szCs w:val="18"/>
              </w:rPr>
            </w:pPr>
          </w:p>
          <w:p w:rsidR="00E97F17" w:rsidRPr="0064188C" w:rsidRDefault="00E97F17" w:rsidP="009A48C7">
            <w:pPr>
              <w:pStyle w:val="ListParagraph"/>
              <w:numPr>
                <w:ilvl w:val="0"/>
                <w:numId w:val="2"/>
              </w:numPr>
              <w:rPr>
                <w:rFonts w:ascii="Century Gothic" w:hAnsi="Century Gothic"/>
                <w:sz w:val="18"/>
                <w:szCs w:val="18"/>
              </w:rPr>
            </w:pPr>
            <w:r w:rsidRPr="0064188C">
              <w:rPr>
                <w:rFonts w:ascii="Century Gothic" w:hAnsi="Century Gothic"/>
                <w:sz w:val="18"/>
                <w:szCs w:val="18"/>
              </w:rPr>
              <w:t xml:space="preserve">By the end of 2020-2021 attainment gaps </w:t>
            </w:r>
            <w:r w:rsidRPr="0064188C">
              <w:rPr>
                <w:rFonts w:ascii="Century Gothic" w:hAnsi="Century Gothic"/>
                <w:b/>
                <w:sz w:val="18"/>
                <w:szCs w:val="18"/>
              </w:rPr>
              <w:t xml:space="preserve">between PP and </w:t>
            </w:r>
            <w:r w:rsidR="00751042" w:rsidRPr="0064188C">
              <w:rPr>
                <w:rFonts w:ascii="Century Gothic" w:hAnsi="Century Gothic"/>
                <w:b/>
                <w:sz w:val="18"/>
                <w:szCs w:val="18"/>
              </w:rPr>
              <w:t>‘</w:t>
            </w:r>
            <w:r w:rsidR="003A7DB0">
              <w:rPr>
                <w:rFonts w:ascii="Century Gothic" w:hAnsi="Century Gothic"/>
                <w:b/>
                <w:sz w:val="18"/>
                <w:szCs w:val="18"/>
              </w:rPr>
              <w:t>non-pp</w:t>
            </w:r>
            <w:r w:rsidR="00751042" w:rsidRPr="0064188C">
              <w:rPr>
                <w:rFonts w:ascii="Century Gothic" w:hAnsi="Century Gothic"/>
                <w:b/>
                <w:sz w:val="18"/>
                <w:szCs w:val="18"/>
              </w:rPr>
              <w:t>’</w:t>
            </w:r>
            <w:r w:rsidRPr="0064188C">
              <w:rPr>
                <w:rFonts w:ascii="Century Gothic" w:hAnsi="Century Gothic"/>
                <w:sz w:val="18"/>
                <w:szCs w:val="18"/>
              </w:rPr>
              <w:t xml:space="preserve"> pupils were</w:t>
            </w:r>
          </w:p>
          <w:p w:rsidR="00E97F17" w:rsidRPr="0064188C" w:rsidRDefault="002A03C6"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Reading -17</w:t>
            </w:r>
            <w:r w:rsidR="00E97F17" w:rsidRPr="0064188C">
              <w:rPr>
                <w:rFonts w:ascii="Century Gothic" w:hAnsi="Century Gothic"/>
                <w:sz w:val="18"/>
                <w:szCs w:val="18"/>
              </w:rPr>
              <w:t>%</w:t>
            </w:r>
            <w:r w:rsidR="008B5E5E">
              <w:rPr>
                <w:rFonts w:ascii="Century Gothic" w:hAnsi="Century Gothic"/>
                <w:sz w:val="18"/>
                <w:szCs w:val="18"/>
              </w:rPr>
              <w:t xml:space="preserve"> </w:t>
            </w:r>
            <w:r w:rsidR="008B5E5E">
              <w:rPr>
                <w:rFonts w:ascii="Century Gothic" w:hAnsi="Century Gothic"/>
                <w:color w:val="C45911" w:themeColor="accent2" w:themeShade="BF"/>
                <w:sz w:val="18"/>
                <w:szCs w:val="18"/>
              </w:rPr>
              <w:t>now -2% (+15% change)</w:t>
            </w:r>
          </w:p>
          <w:p w:rsidR="00E97F17" w:rsidRPr="0064188C" w:rsidRDefault="00E97F17"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 xml:space="preserve">Writing -22% </w:t>
            </w:r>
            <w:r w:rsidR="008B5E5E">
              <w:rPr>
                <w:rFonts w:ascii="Century Gothic" w:hAnsi="Century Gothic"/>
                <w:sz w:val="18"/>
                <w:szCs w:val="18"/>
              </w:rPr>
              <w:t xml:space="preserve"> </w:t>
            </w:r>
            <w:r w:rsidR="008B5E5E">
              <w:rPr>
                <w:rFonts w:ascii="Century Gothic" w:hAnsi="Century Gothic"/>
                <w:color w:val="C45911" w:themeColor="accent2" w:themeShade="BF"/>
                <w:sz w:val="18"/>
                <w:szCs w:val="18"/>
              </w:rPr>
              <w:t>Now -24% (-2% change)</w:t>
            </w:r>
          </w:p>
          <w:p w:rsidR="00E97F17" w:rsidRPr="0064188C" w:rsidRDefault="002A03C6"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Maths -18</w:t>
            </w:r>
            <w:r w:rsidR="00E97F17" w:rsidRPr="0064188C">
              <w:rPr>
                <w:rFonts w:ascii="Century Gothic" w:hAnsi="Century Gothic"/>
                <w:sz w:val="18"/>
                <w:szCs w:val="18"/>
              </w:rPr>
              <w:t>%</w:t>
            </w:r>
            <w:r w:rsidR="00751042" w:rsidRPr="0064188C">
              <w:rPr>
                <w:rFonts w:ascii="Century Gothic" w:hAnsi="Century Gothic"/>
                <w:sz w:val="18"/>
                <w:szCs w:val="18"/>
              </w:rPr>
              <w:t xml:space="preserve">  </w:t>
            </w:r>
            <w:r w:rsidR="008B5E5E">
              <w:rPr>
                <w:rFonts w:ascii="Century Gothic" w:hAnsi="Century Gothic"/>
                <w:color w:val="C45911" w:themeColor="accent2" w:themeShade="BF"/>
                <w:sz w:val="18"/>
                <w:szCs w:val="18"/>
              </w:rPr>
              <w:t>Now – 15% (+3% change)</w:t>
            </w:r>
          </w:p>
          <w:p w:rsidR="009A48C7" w:rsidRPr="0064188C" w:rsidRDefault="009A48C7" w:rsidP="009A48C7">
            <w:pPr>
              <w:pStyle w:val="ListParagraph"/>
              <w:rPr>
                <w:rFonts w:ascii="Century Gothic" w:hAnsi="Century Gothic"/>
                <w:sz w:val="18"/>
                <w:szCs w:val="18"/>
              </w:rPr>
            </w:pPr>
          </w:p>
          <w:p w:rsidR="00207616" w:rsidRPr="0064188C" w:rsidRDefault="00207616" w:rsidP="009A48C7">
            <w:pPr>
              <w:pStyle w:val="ListParagraph"/>
              <w:numPr>
                <w:ilvl w:val="0"/>
                <w:numId w:val="2"/>
              </w:numPr>
              <w:rPr>
                <w:rFonts w:ascii="Century Gothic" w:hAnsi="Century Gothic"/>
                <w:sz w:val="18"/>
                <w:szCs w:val="18"/>
              </w:rPr>
            </w:pPr>
            <w:r w:rsidRPr="0064188C">
              <w:rPr>
                <w:rFonts w:ascii="Century Gothic" w:hAnsi="Century Gothic"/>
                <w:sz w:val="18"/>
                <w:szCs w:val="18"/>
              </w:rPr>
              <w:t>During 2020-2021 the attainment gaps between PP and other children reduced in R, W, M from Autumn to Summer</w:t>
            </w:r>
          </w:p>
          <w:tbl>
            <w:tblPr>
              <w:tblStyle w:val="TableGrid"/>
              <w:tblW w:w="6579" w:type="dxa"/>
              <w:tblInd w:w="8" w:type="dxa"/>
              <w:tblLayout w:type="fixed"/>
              <w:tblLook w:val="04A0" w:firstRow="1" w:lastRow="0" w:firstColumn="1" w:lastColumn="0" w:noHBand="0" w:noVBand="1"/>
            </w:tblPr>
            <w:tblGrid>
              <w:gridCol w:w="1224"/>
              <w:gridCol w:w="1109"/>
              <w:gridCol w:w="1109"/>
              <w:gridCol w:w="1087"/>
              <w:gridCol w:w="1119"/>
              <w:gridCol w:w="931"/>
            </w:tblGrid>
            <w:tr w:rsidR="00751042" w:rsidRPr="0064188C" w:rsidTr="002C3B2A">
              <w:trPr>
                <w:trHeight w:val="210"/>
              </w:trPr>
              <w:tc>
                <w:tcPr>
                  <w:tcW w:w="1224" w:type="dxa"/>
                </w:tcPr>
                <w:p w:rsidR="00751042" w:rsidRPr="0064188C" w:rsidRDefault="00751042" w:rsidP="00207616">
                  <w:pPr>
                    <w:rPr>
                      <w:rFonts w:ascii="Century Gothic" w:hAnsi="Century Gothic" w:cs="Arial"/>
                      <w:sz w:val="18"/>
                      <w:szCs w:val="18"/>
                    </w:rPr>
                  </w:pPr>
                </w:p>
              </w:tc>
              <w:tc>
                <w:tcPr>
                  <w:tcW w:w="1109" w:type="dxa"/>
                </w:tcPr>
                <w:p w:rsidR="00751042" w:rsidRPr="0064188C" w:rsidRDefault="00751042" w:rsidP="00207616">
                  <w:pPr>
                    <w:rPr>
                      <w:rFonts w:ascii="Century Gothic" w:hAnsi="Century Gothic" w:cs="Arial"/>
                      <w:sz w:val="18"/>
                      <w:szCs w:val="18"/>
                    </w:rPr>
                  </w:pPr>
                  <w:proofErr w:type="gramStart"/>
                  <w:r w:rsidRPr="0064188C">
                    <w:rPr>
                      <w:rFonts w:ascii="Century Gothic" w:hAnsi="Century Gothic" w:cs="Arial"/>
                      <w:sz w:val="18"/>
                      <w:szCs w:val="18"/>
                    </w:rPr>
                    <w:t>Non PP</w:t>
                  </w:r>
                  <w:proofErr w:type="gramEnd"/>
                  <w:r w:rsidRPr="0064188C">
                    <w:rPr>
                      <w:rFonts w:ascii="Century Gothic" w:hAnsi="Century Gothic" w:cs="Arial"/>
                      <w:sz w:val="18"/>
                      <w:szCs w:val="18"/>
                    </w:rPr>
                    <w:t xml:space="preserve"> ARE+</w:t>
                  </w:r>
                </w:p>
              </w:tc>
              <w:tc>
                <w:tcPr>
                  <w:tcW w:w="1109"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PP ARE+</w:t>
                  </w:r>
                </w:p>
              </w:tc>
              <w:tc>
                <w:tcPr>
                  <w:tcW w:w="1087"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 xml:space="preserve">Gap </w:t>
                  </w:r>
                  <w:proofErr w:type="spellStart"/>
                  <w:r w:rsidR="003E52CB" w:rsidRPr="0064188C">
                    <w:rPr>
                      <w:rFonts w:ascii="Century Gothic" w:hAnsi="Century Gothic" w:cs="Arial"/>
                      <w:sz w:val="18"/>
                      <w:szCs w:val="18"/>
                    </w:rPr>
                    <w:t>A</w:t>
                  </w:r>
                  <w:r w:rsidRPr="0064188C">
                    <w:rPr>
                      <w:rFonts w:ascii="Century Gothic" w:hAnsi="Century Gothic" w:cs="Arial"/>
                      <w:sz w:val="18"/>
                      <w:szCs w:val="18"/>
                    </w:rPr>
                    <w:t>ut</w:t>
                  </w:r>
                  <w:proofErr w:type="spellEnd"/>
                  <w:r w:rsidRPr="0064188C">
                    <w:rPr>
                      <w:rFonts w:ascii="Century Gothic" w:hAnsi="Century Gothic" w:cs="Arial"/>
                      <w:sz w:val="18"/>
                      <w:szCs w:val="18"/>
                    </w:rPr>
                    <w:t xml:space="preserve"> </w:t>
                  </w:r>
                </w:p>
              </w:tc>
              <w:tc>
                <w:tcPr>
                  <w:tcW w:w="1119" w:type="dxa"/>
                </w:tcPr>
                <w:p w:rsidR="00751042" w:rsidRPr="0064188C" w:rsidRDefault="003E52CB" w:rsidP="00207616">
                  <w:pPr>
                    <w:rPr>
                      <w:rFonts w:ascii="Century Gothic" w:hAnsi="Century Gothic" w:cs="Arial"/>
                      <w:sz w:val="18"/>
                      <w:szCs w:val="18"/>
                    </w:rPr>
                  </w:pPr>
                  <w:r w:rsidRPr="0064188C">
                    <w:rPr>
                      <w:rFonts w:ascii="Century Gothic" w:hAnsi="Century Gothic" w:cs="Arial"/>
                      <w:sz w:val="18"/>
                      <w:szCs w:val="18"/>
                    </w:rPr>
                    <w:t>Gap Sum</w:t>
                  </w:r>
                </w:p>
              </w:tc>
              <w:tc>
                <w:tcPr>
                  <w:tcW w:w="931" w:type="dxa"/>
                </w:tcPr>
                <w:p w:rsidR="00751042" w:rsidRPr="0064188C" w:rsidRDefault="009A48C7" w:rsidP="00207616">
                  <w:pPr>
                    <w:rPr>
                      <w:rFonts w:ascii="Century Gothic" w:hAnsi="Century Gothic" w:cs="Arial"/>
                      <w:sz w:val="18"/>
                      <w:szCs w:val="18"/>
                    </w:rPr>
                  </w:pPr>
                  <w:r w:rsidRPr="0064188C">
                    <w:rPr>
                      <w:rFonts w:ascii="Century Gothic" w:hAnsi="Century Gothic" w:cs="Arial"/>
                      <w:sz w:val="18"/>
                      <w:szCs w:val="18"/>
                    </w:rPr>
                    <w:t>Gap narrowed by</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Reading</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69</w:t>
                  </w:r>
                  <w:r w:rsidR="00751042" w:rsidRPr="0064188C">
                    <w:rPr>
                      <w:rFonts w:ascii="Century Gothic" w:hAnsi="Century Gothic" w:cs="Arial"/>
                      <w:sz w:val="18"/>
                      <w:szCs w:val="18"/>
                    </w:rPr>
                    <w:t xml:space="preserve"> </w:t>
                  </w:r>
                  <w:r w:rsidR="00751042" w:rsidRPr="00C842A2">
                    <w:rPr>
                      <w:rFonts w:ascii="Century Gothic" w:hAnsi="Century Gothic" w:cs="Arial"/>
                      <w:color w:val="00B0F0"/>
                      <w:sz w:val="18"/>
                      <w:szCs w:val="18"/>
                    </w:rPr>
                    <w:t>78</w:t>
                  </w:r>
                </w:p>
              </w:tc>
              <w:tc>
                <w:tcPr>
                  <w:tcW w:w="1109" w:type="dxa"/>
                </w:tcPr>
                <w:p w:rsidR="00751042" w:rsidRPr="0064188C" w:rsidRDefault="00751042"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 xml:space="preserve">51 </w:t>
                  </w:r>
                  <w:r w:rsidR="002A03C6" w:rsidRPr="00C842A2">
                    <w:rPr>
                      <w:rFonts w:ascii="Century Gothic" w:hAnsi="Century Gothic" w:cs="Arial"/>
                      <w:color w:val="00B0F0"/>
                      <w:sz w:val="18"/>
                      <w:szCs w:val="18"/>
                    </w:rPr>
                    <w:t>61</w:t>
                  </w:r>
                </w:p>
              </w:tc>
              <w:tc>
                <w:tcPr>
                  <w:tcW w:w="1087" w:type="dxa"/>
                </w:tcPr>
                <w:p w:rsidR="00751042" w:rsidRPr="0064188C" w:rsidRDefault="002A03C6" w:rsidP="00207616">
                  <w:pPr>
                    <w:rPr>
                      <w:rFonts w:ascii="Century Gothic" w:hAnsi="Century Gothic" w:cs="Arial"/>
                      <w:sz w:val="18"/>
                      <w:szCs w:val="18"/>
                    </w:rPr>
                  </w:pPr>
                  <w:r w:rsidRPr="0064188C">
                    <w:rPr>
                      <w:rFonts w:ascii="Century Gothic" w:hAnsi="Century Gothic" w:cs="Arial"/>
                      <w:sz w:val="18"/>
                      <w:szCs w:val="18"/>
                    </w:rPr>
                    <w:t>-18</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-17</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-2%</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1</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15%</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Writing</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68</w:t>
                  </w:r>
                  <w:r w:rsidR="00751042" w:rsidRPr="00C842A2">
                    <w:rPr>
                      <w:rFonts w:ascii="Century Gothic" w:hAnsi="Century Gothic" w:cs="Arial"/>
                      <w:color w:val="00B0F0"/>
                      <w:sz w:val="18"/>
                      <w:szCs w:val="18"/>
                    </w:rPr>
                    <w:t xml:space="preserve"> 66</w:t>
                  </w:r>
                </w:p>
              </w:tc>
              <w:tc>
                <w:tcPr>
                  <w:tcW w:w="1109" w:type="dxa"/>
                </w:tcPr>
                <w:p w:rsidR="00751042" w:rsidRPr="0064188C" w:rsidRDefault="00751042"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 xml:space="preserve">38 </w:t>
                  </w:r>
                  <w:r w:rsidRPr="00C842A2">
                    <w:rPr>
                      <w:rFonts w:ascii="Century Gothic" w:hAnsi="Century Gothic" w:cs="Arial"/>
                      <w:color w:val="00B0F0"/>
                      <w:sz w:val="18"/>
                      <w:szCs w:val="18"/>
                    </w:rPr>
                    <w:t>44</w:t>
                  </w:r>
                </w:p>
              </w:tc>
              <w:tc>
                <w:tcPr>
                  <w:tcW w:w="1087" w:type="dxa"/>
                </w:tcPr>
                <w:p w:rsidR="00751042" w:rsidRPr="0064188C" w:rsidRDefault="002A03C6" w:rsidP="002A03C6">
                  <w:pPr>
                    <w:rPr>
                      <w:rFonts w:ascii="Century Gothic" w:hAnsi="Century Gothic" w:cs="Arial"/>
                      <w:sz w:val="18"/>
                      <w:szCs w:val="18"/>
                    </w:rPr>
                  </w:pPr>
                  <w:r w:rsidRPr="0064188C">
                    <w:rPr>
                      <w:rFonts w:ascii="Century Gothic" w:hAnsi="Century Gothic" w:cs="Arial"/>
                      <w:sz w:val="18"/>
                      <w:szCs w:val="18"/>
                    </w:rPr>
                    <w:t>-30</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-22</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-24%</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8</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2% wider</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Maths</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63</w:t>
                  </w:r>
                  <w:r w:rsidR="00751042" w:rsidRPr="0064188C">
                    <w:rPr>
                      <w:rFonts w:ascii="Century Gothic" w:hAnsi="Century Gothic" w:cs="Arial"/>
                      <w:sz w:val="18"/>
                      <w:szCs w:val="18"/>
                    </w:rPr>
                    <w:t xml:space="preserve"> </w:t>
                  </w:r>
                  <w:r w:rsidR="00751042" w:rsidRPr="00C842A2">
                    <w:rPr>
                      <w:rFonts w:ascii="Century Gothic" w:hAnsi="Century Gothic" w:cs="Arial"/>
                      <w:color w:val="00B0F0"/>
                      <w:sz w:val="18"/>
                      <w:szCs w:val="18"/>
                    </w:rPr>
                    <w:t>73</w:t>
                  </w:r>
                </w:p>
              </w:tc>
              <w:tc>
                <w:tcPr>
                  <w:tcW w:w="1109" w:type="dxa"/>
                </w:tcPr>
                <w:p w:rsidR="00751042" w:rsidRPr="0064188C" w:rsidRDefault="00751042"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 xml:space="preserve">41  </w:t>
                  </w:r>
                  <w:r w:rsidR="002A03C6" w:rsidRPr="00C842A2">
                    <w:rPr>
                      <w:rFonts w:ascii="Century Gothic" w:hAnsi="Century Gothic" w:cs="Arial"/>
                      <w:color w:val="00B0F0"/>
                      <w:sz w:val="18"/>
                      <w:szCs w:val="18"/>
                    </w:rPr>
                    <w:t>55</w:t>
                  </w:r>
                </w:p>
              </w:tc>
              <w:tc>
                <w:tcPr>
                  <w:tcW w:w="1087" w:type="dxa"/>
                </w:tcPr>
                <w:p w:rsidR="00751042" w:rsidRPr="0064188C" w:rsidRDefault="002A03C6" w:rsidP="00207616">
                  <w:pPr>
                    <w:rPr>
                      <w:rFonts w:ascii="Century Gothic" w:hAnsi="Century Gothic" w:cs="Arial"/>
                      <w:sz w:val="18"/>
                      <w:szCs w:val="18"/>
                    </w:rPr>
                  </w:pPr>
                  <w:r w:rsidRPr="0064188C">
                    <w:rPr>
                      <w:rFonts w:ascii="Century Gothic" w:hAnsi="Century Gothic" w:cs="Arial"/>
                      <w:sz w:val="18"/>
                      <w:szCs w:val="18"/>
                    </w:rPr>
                    <w:t>-22</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-18</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-15%</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4</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3%</w:t>
                  </w:r>
                </w:p>
              </w:tc>
            </w:tr>
          </w:tbl>
          <w:p w:rsidR="00075E6D" w:rsidRPr="0064188C" w:rsidRDefault="00075E6D" w:rsidP="00075E6D">
            <w:pPr>
              <w:pStyle w:val="ListParagraph"/>
              <w:ind w:left="1440"/>
              <w:rPr>
                <w:rFonts w:ascii="Century Gothic" w:hAnsi="Century Gothic"/>
                <w:color w:val="000000" w:themeColor="text1"/>
                <w:sz w:val="18"/>
                <w:szCs w:val="18"/>
              </w:rPr>
            </w:pPr>
          </w:p>
          <w:p w:rsidR="005D44CA" w:rsidRDefault="005D44CA" w:rsidP="00075E6D">
            <w:pPr>
              <w:pStyle w:val="ListParagraph"/>
              <w:ind w:left="1440"/>
              <w:rPr>
                <w:rFonts w:ascii="Century Gothic" w:hAnsi="Century Gothic"/>
                <w:color w:val="000000" w:themeColor="text1"/>
                <w:sz w:val="18"/>
                <w:szCs w:val="18"/>
              </w:rPr>
            </w:pPr>
          </w:p>
          <w:p w:rsidR="0064188C" w:rsidRPr="0064188C" w:rsidRDefault="0064188C" w:rsidP="00075E6D">
            <w:pPr>
              <w:pStyle w:val="ListParagraph"/>
              <w:ind w:left="1440"/>
              <w:rPr>
                <w:rFonts w:ascii="Century Gothic" w:hAnsi="Century Gothic"/>
                <w:color w:val="000000" w:themeColor="text1"/>
                <w:sz w:val="18"/>
                <w:szCs w:val="18"/>
              </w:rPr>
            </w:pPr>
          </w:p>
          <w:p w:rsidR="005D44CA" w:rsidRPr="0064188C" w:rsidRDefault="005D44CA" w:rsidP="00075E6D">
            <w:pPr>
              <w:pStyle w:val="ListParagraph"/>
              <w:ind w:left="1440"/>
              <w:rPr>
                <w:rFonts w:ascii="Century Gothic" w:hAnsi="Century Gothic"/>
                <w:color w:val="000000" w:themeColor="text1"/>
                <w:sz w:val="18"/>
                <w:szCs w:val="18"/>
              </w:rPr>
            </w:pPr>
          </w:p>
          <w:p w:rsidR="005D44CA" w:rsidRPr="0064188C" w:rsidRDefault="005D44CA" w:rsidP="00075E6D">
            <w:pPr>
              <w:pStyle w:val="ListParagraph"/>
              <w:ind w:left="1440"/>
              <w:rPr>
                <w:rFonts w:ascii="Century Gothic" w:hAnsi="Century Gothic"/>
                <w:color w:val="000000" w:themeColor="text1"/>
                <w:sz w:val="18"/>
                <w:szCs w:val="18"/>
              </w:rPr>
            </w:pPr>
          </w:p>
          <w:p w:rsidR="00075E6D" w:rsidRPr="0064188C" w:rsidRDefault="00075E6D" w:rsidP="00075E6D">
            <w:pPr>
              <w:rPr>
                <w:rFonts w:ascii="Century Gothic" w:hAnsi="Century Gothic"/>
                <w:color w:val="000000" w:themeColor="text1"/>
                <w:sz w:val="18"/>
                <w:szCs w:val="18"/>
              </w:rPr>
            </w:pPr>
            <w:r w:rsidRPr="0064188C">
              <w:rPr>
                <w:rFonts w:ascii="Century Gothic" w:hAnsi="Century Gothic"/>
                <w:color w:val="000000" w:themeColor="text1"/>
                <w:sz w:val="18"/>
                <w:szCs w:val="18"/>
              </w:rPr>
              <w:lastRenderedPageBreak/>
              <w:t xml:space="preserve">Attainment comparison from June 19 to June 21 </w:t>
            </w:r>
            <w:r w:rsidRPr="0064188C">
              <w:rPr>
                <w:rFonts w:ascii="Century Gothic" w:hAnsi="Century Gothic"/>
                <w:b/>
                <w:sz w:val="18"/>
                <w:szCs w:val="18"/>
              </w:rPr>
              <w:t>(this is for  significantly different group of PP children</w:t>
            </w:r>
            <w:r w:rsidRPr="0064188C">
              <w:rPr>
                <w:rFonts w:ascii="Century Gothic" w:hAnsi="Century Gothic"/>
                <w:sz w:val="18"/>
                <w:szCs w:val="18"/>
              </w:rPr>
              <w:t>):</w:t>
            </w:r>
          </w:p>
          <w:tbl>
            <w:tblPr>
              <w:tblStyle w:val="TableGrid"/>
              <w:tblW w:w="6334" w:type="dxa"/>
              <w:tblLayout w:type="fixed"/>
              <w:tblLook w:val="04A0" w:firstRow="1" w:lastRow="0" w:firstColumn="1" w:lastColumn="0" w:noHBand="0" w:noVBand="1"/>
            </w:tblPr>
            <w:tblGrid>
              <w:gridCol w:w="1092"/>
              <w:gridCol w:w="1276"/>
              <w:gridCol w:w="1134"/>
              <w:gridCol w:w="708"/>
              <w:gridCol w:w="708"/>
              <w:gridCol w:w="708"/>
              <w:gridCol w:w="708"/>
            </w:tblGrid>
            <w:tr w:rsidR="009847E2" w:rsidRPr="0064188C" w:rsidTr="009847E2">
              <w:trPr>
                <w:trHeight w:val="253"/>
              </w:trPr>
              <w:tc>
                <w:tcPr>
                  <w:tcW w:w="1092" w:type="dxa"/>
                </w:tcPr>
                <w:p w:rsidR="009847E2" w:rsidRPr="0064188C" w:rsidRDefault="009847E2" w:rsidP="009A48C7">
                  <w:pPr>
                    <w:jc w:val="center"/>
                    <w:rPr>
                      <w:rFonts w:ascii="Century Gothic" w:hAnsi="Century Gothic"/>
                      <w:sz w:val="18"/>
                      <w:szCs w:val="18"/>
                    </w:rPr>
                  </w:pPr>
                  <w:bookmarkStart w:id="0" w:name="_Hlk75789582"/>
                </w:p>
              </w:tc>
              <w:tc>
                <w:tcPr>
                  <w:tcW w:w="1276" w:type="dxa"/>
                </w:tcPr>
                <w:p w:rsidR="009847E2" w:rsidRPr="0064188C" w:rsidRDefault="009847E2" w:rsidP="009A48C7">
                  <w:pPr>
                    <w:jc w:val="center"/>
                    <w:rPr>
                      <w:rFonts w:ascii="Century Gothic" w:hAnsi="Century Gothic"/>
                      <w:b/>
                      <w:sz w:val="18"/>
                      <w:szCs w:val="18"/>
                    </w:rPr>
                  </w:pPr>
                  <w:r w:rsidRPr="0064188C">
                    <w:rPr>
                      <w:rFonts w:ascii="Century Gothic" w:hAnsi="Century Gothic"/>
                      <w:b/>
                      <w:sz w:val="18"/>
                      <w:szCs w:val="18"/>
                    </w:rPr>
                    <w:t>June 2019</w:t>
                  </w:r>
                </w:p>
              </w:tc>
              <w:tc>
                <w:tcPr>
                  <w:tcW w:w="1134" w:type="dxa"/>
                </w:tcPr>
                <w:p w:rsidR="009847E2" w:rsidRPr="0064188C" w:rsidRDefault="009847E2" w:rsidP="009A48C7">
                  <w:pPr>
                    <w:jc w:val="center"/>
                    <w:rPr>
                      <w:rFonts w:ascii="Century Gothic" w:hAnsi="Century Gothic"/>
                      <w:b/>
                      <w:sz w:val="18"/>
                      <w:szCs w:val="18"/>
                    </w:rPr>
                  </w:pPr>
                  <w:r w:rsidRPr="0064188C">
                    <w:rPr>
                      <w:rFonts w:ascii="Century Gothic" w:hAnsi="Century Gothic"/>
                      <w:b/>
                      <w:sz w:val="18"/>
                      <w:szCs w:val="18"/>
                    </w:rPr>
                    <w:t>June 2021</w:t>
                  </w:r>
                </w:p>
              </w:tc>
              <w:tc>
                <w:tcPr>
                  <w:tcW w:w="708" w:type="dxa"/>
                </w:tcPr>
                <w:p w:rsidR="009847E2" w:rsidRPr="0064188C" w:rsidRDefault="009847E2" w:rsidP="009A48C7">
                  <w:pPr>
                    <w:jc w:val="center"/>
                    <w:rPr>
                      <w:rFonts w:ascii="Century Gothic" w:hAnsi="Century Gothic"/>
                      <w:b/>
                      <w:sz w:val="18"/>
                      <w:szCs w:val="18"/>
                    </w:rPr>
                  </w:pPr>
                  <w:r w:rsidRPr="0064188C">
                    <w:rPr>
                      <w:rFonts w:ascii="Century Gothic" w:hAnsi="Century Gothic"/>
                      <w:b/>
                      <w:sz w:val="18"/>
                      <w:szCs w:val="18"/>
                    </w:rPr>
                    <w:t xml:space="preserve">Difference </w:t>
                  </w:r>
                </w:p>
              </w:tc>
              <w:tc>
                <w:tcPr>
                  <w:tcW w:w="708" w:type="dxa"/>
                </w:tcPr>
                <w:p w:rsidR="009847E2" w:rsidRPr="009847E2" w:rsidRDefault="009847E2" w:rsidP="009A48C7">
                  <w:pPr>
                    <w:jc w:val="cente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June 22</w:t>
                  </w:r>
                </w:p>
              </w:tc>
              <w:tc>
                <w:tcPr>
                  <w:tcW w:w="708" w:type="dxa"/>
                </w:tcPr>
                <w:p w:rsidR="009847E2" w:rsidRPr="0064188C" w:rsidRDefault="009847E2" w:rsidP="009A48C7">
                  <w:pPr>
                    <w:jc w:val="center"/>
                    <w:rPr>
                      <w:rFonts w:ascii="Century Gothic" w:hAnsi="Century Gothic"/>
                      <w:b/>
                      <w:sz w:val="18"/>
                      <w:szCs w:val="18"/>
                    </w:rPr>
                  </w:pPr>
                  <w:r w:rsidRPr="009847E2">
                    <w:rPr>
                      <w:rFonts w:ascii="Century Gothic" w:hAnsi="Century Gothic"/>
                      <w:b/>
                      <w:color w:val="C45911" w:themeColor="accent2" w:themeShade="BF"/>
                      <w:sz w:val="18"/>
                      <w:szCs w:val="18"/>
                    </w:rPr>
                    <w:t>Difference</w:t>
                  </w:r>
                </w:p>
              </w:tc>
              <w:tc>
                <w:tcPr>
                  <w:tcW w:w="708" w:type="dxa"/>
                </w:tcPr>
                <w:p w:rsidR="009847E2" w:rsidRPr="009847E2" w:rsidRDefault="009847E2" w:rsidP="009A48C7">
                  <w:pPr>
                    <w:jc w:val="center"/>
                    <w:rPr>
                      <w:rFonts w:ascii="Century Gothic" w:hAnsi="Century Gothic"/>
                      <w:b/>
                      <w:color w:val="C45911" w:themeColor="accent2" w:themeShade="BF"/>
                      <w:sz w:val="18"/>
                      <w:szCs w:val="18"/>
                    </w:rPr>
                  </w:pPr>
                  <w:r w:rsidRPr="009847E2">
                    <w:rPr>
                      <w:rFonts w:ascii="Century Gothic" w:hAnsi="Century Gothic"/>
                      <w:b/>
                      <w:color w:val="C45911" w:themeColor="accent2" w:themeShade="BF"/>
                      <w:sz w:val="18"/>
                      <w:szCs w:val="18"/>
                    </w:rPr>
                    <w:t>Difference</w:t>
                  </w:r>
                </w:p>
              </w:tc>
            </w:tr>
            <w:tr w:rsidR="009847E2" w:rsidRPr="0064188C" w:rsidTr="009847E2">
              <w:trPr>
                <w:trHeight w:val="253"/>
              </w:trPr>
              <w:tc>
                <w:tcPr>
                  <w:tcW w:w="1092" w:type="dxa"/>
                </w:tcPr>
                <w:p w:rsidR="009847E2" w:rsidRPr="0064188C" w:rsidRDefault="009847E2" w:rsidP="009A48C7">
                  <w:pPr>
                    <w:jc w:val="center"/>
                    <w:rPr>
                      <w:rFonts w:ascii="Century Gothic" w:hAnsi="Century Gothic"/>
                      <w:sz w:val="18"/>
                      <w:szCs w:val="18"/>
                    </w:rPr>
                  </w:pPr>
                </w:p>
              </w:tc>
              <w:tc>
                <w:tcPr>
                  <w:tcW w:w="1276" w:type="dxa"/>
                </w:tcPr>
                <w:p w:rsidR="009847E2" w:rsidRPr="0064188C" w:rsidRDefault="009847E2" w:rsidP="009A48C7">
                  <w:pPr>
                    <w:jc w:val="center"/>
                    <w:rPr>
                      <w:rFonts w:ascii="Century Gothic" w:hAnsi="Century Gothic"/>
                      <w:b/>
                      <w:sz w:val="18"/>
                      <w:szCs w:val="18"/>
                    </w:rPr>
                  </w:pPr>
                  <w:r w:rsidRPr="0064188C">
                    <w:rPr>
                      <w:rFonts w:ascii="Century Gothic" w:hAnsi="Century Gothic"/>
                      <w:b/>
                      <w:sz w:val="18"/>
                      <w:szCs w:val="18"/>
                    </w:rPr>
                    <w:t>PP ARE+</w:t>
                  </w:r>
                </w:p>
              </w:tc>
              <w:tc>
                <w:tcPr>
                  <w:tcW w:w="1134" w:type="dxa"/>
                </w:tcPr>
                <w:p w:rsidR="009847E2" w:rsidRPr="0064188C" w:rsidRDefault="009847E2" w:rsidP="009A48C7">
                  <w:pPr>
                    <w:jc w:val="center"/>
                    <w:rPr>
                      <w:rFonts w:ascii="Century Gothic" w:hAnsi="Century Gothic"/>
                      <w:b/>
                      <w:sz w:val="18"/>
                      <w:szCs w:val="18"/>
                    </w:rPr>
                  </w:pPr>
                  <w:r w:rsidRPr="0064188C">
                    <w:rPr>
                      <w:rFonts w:ascii="Century Gothic" w:hAnsi="Century Gothic"/>
                      <w:b/>
                      <w:sz w:val="18"/>
                      <w:szCs w:val="18"/>
                    </w:rPr>
                    <w:t>PP ARE+</w:t>
                  </w:r>
                </w:p>
              </w:tc>
              <w:tc>
                <w:tcPr>
                  <w:tcW w:w="708" w:type="dxa"/>
                </w:tcPr>
                <w:p w:rsidR="009847E2" w:rsidRPr="0064188C" w:rsidRDefault="009847E2" w:rsidP="009A48C7">
                  <w:pPr>
                    <w:jc w:val="center"/>
                    <w:rPr>
                      <w:rFonts w:ascii="Century Gothic" w:hAnsi="Century Gothic"/>
                      <w:b/>
                      <w:sz w:val="18"/>
                      <w:szCs w:val="18"/>
                    </w:rPr>
                  </w:pPr>
                </w:p>
              </w:tc>
              <w:tc>
                <w:tcPr>
                  <w:tcW w:w="708" w:type="dxa"/>
                </w:tcPr>
                <w:p w:rsidR="009847E2" w:rsidRPr="0064188C" w:rsidRDefault="009847E2" w:rsidP="009A48C7">
                  <w:pPr>
                    <w:jc w:val="center"/>
                    <w:rPr>
                      <w:rFonts w:ascii="Century Gothic" w:hAnsi="Century Gothic"/>
                      <w:b/>
                      <w:sz w:val="18"/>
                      <w:szCs w:val="18"/>
                    </w:rPr>
                  </w:pPr>
                  <w:r w:rsidRPr="009847E2">
                    <w:rPr>
                      <w:rFonts w:ascii="Century Gothic" w:hAnsi="Century Gothic"/>
                      <w:b/>
                      <w:color w:val="C45911" w:themeColor="accent2" w:themeShade="BF"/>
                      <w:sz w:val="18"/>
                      <w:szCs w:val="18"/>
                    </w:rPr>
                    <w:t>PP ARE+</w:t>
                  </w:r>
                </w:p>
              </w:tc>
              <w:tc>
                <w:tcPr>
                  <w:tcW w:w="708" w:type="dxa"/>
                </w:tcPr>
                <w:p w:rsidR="009847E2" w:rsidRPr="0064188C" w:rsidRDefault="009847E2" w:rsidP="009A48C7">
                  <w:pPr>
                    <w:jc w:val="center"/>
                    <w:rPr>
                      <w:rFonts w:ascii="Century Gothic" w:hAnsi="Century Gothic"/>
                      <w:b/>
                      <w:sz w:val="18"/>
                      <w:szCs w:val="18"/>
                    </w:rPr>
                  </w:pPr>
                  <w:r w:rsidRPr="009847E2">
                    <w:rPr>
                      <w:rFonts w:ascii="Century Gothic" w:hAnsi="Century Gothic"/>
                      <w:b/>
                      <w:color w:val="C45911" w:themeColor="accent2" w:themeShade="BF"/>
                      <w:sz w:val="18"/>
                      <w:szCs w:val="18"/>
                    </w:rPr>
                    <w:t>21 to 22</w:t>
                  </w:r>
                </w:p>
              </w:tc>
              <w:tc>
                <w:tcPr>
                  <w:tcW w:w="708" w:type="dxa"/>
                </w:tcPr>
                <w:p w:rsidR="009847E2" w:rsidRPr="009847E2" w:rsidRDefault="009847E2" w:rsidP="009A48C7">
                  <w:pPr>
                    <w:jc w:val="cente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19</w:t>
                  </w:r>
                  <w:r w:rsidRPr="009847E2">
                    <w:rPr>
                      <w:rFonts w:ascii="Century Gothic" w:hAnsi="Century Gothic"/>
                      <w:b/>
                      <w:color w:val="C45911" w:themeColor="accent2" w:themeShade="BF"/>
                      <w:sz w:val="18"/>
                      <w:szCs w:val="18"/>
                    </w:rPr>
                    <w:t xml:space="preserve"> to 22</w:t>
                  </w:r>
                </w:p>
              </w:tc>
            </w:tr>
            <w:tr w:rsidR="009847E2" w:rsidRPr="0064188C" w:rsidTr="009847E2">
              <w:trPr>
                <w:trHeight w:val="253"/>
              </w:trPr>
              <w:tc>
                <w:tcPr>
                  <w:tcW w:w="1092"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Reading</w:t>
                  </w:r>
                </w:p>
              </w:tc>
              <w:tc>
                <w:tcPr>
                  <w:tcW w:w="1276"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80%</w:t>
                  </w:r>
                </w:p>
              </w:tc>
              <w:tc>
                <w:tcPr>
                  <w:tcW w:w="1134"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61%</w:t>
                  </w:r>
                </w:p>
              </w:tc>
              <w:tc>
                <w:tcPr>
                  <w:tcW w:w="708"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-19%</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87</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+26%</w:t>
                  </w:r>
                </w:p>
              </w:tc>
              <w:tc>
                <w:tcPr>
                  <w:tcW w:w="708" w:type="dxa"/>
                </w:tcPr>
                <w:p w:rsid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+7%</w:t>
                  </w:r>
                </w:p>
              </w:tc>
            </w:tr>
            <w:tr w:rsidR="009847E2" w:rsidRPr="0064188C" w:rsidTr="009847E2">
              <w:trPr>
                <w:trHeight w:val="253"/>
              </w:trPr>
              <w:tc>
                <w:tcPr>
                  <w:tcW w:w="1092"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Writing</w:t>
                  </w:r>
                </w:p>
              </w:tc>
              <w:tc>
                <w:tcPr>
                  <w:tcW w:w="1276"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65%</w:t>
                  </w:r>
                </w:p>
              </w:tc>
              <w:tc>
                <w:tcPr>
                  <w:tcW w:w="1134"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44%</w:t>
                  </w:r>
                </w:p>
              </w:tc>
              <w:tc>
                <w:tcPr>
                  <w:tcW w:w="708"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-21%</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55</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+11%</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-10%</w:t>
                  </w:r>
                </w:p>
              </w:tc>
            </w:tr>
            <w:tr w:rsidR="009847E2" w:rsidRPr="0064188C" w:rsidTr="009847E2">
              <w:trPr>
                <w:trHeight w:val="253"/>
              </w:trPr>
              <w:tc>
                <w:tcPr>
                  <w:tcW w:w="1092"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maths</w:t>
                  </w:r>
                </w:p>
              </w:tc>
              <w:tc>
                <w:tcPr>
                  <w:tcW w:w="1276"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68%</w:t>
                  </w:r>
                </w:p>
              </w:tc>
              <w:tc>
                <w:tcPr>
                  <w:tcW w:w="1134"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55%</w:t>
                  </w:r>
                </w:p>
              </w:tc>
              <w:tc>
                <w:tcPr>
                  <w:tcW w:w="708" w:type="dxa"/>
                </w:tcPr>
                <w:p w:rsidR="009847E2" w:rsidRPr="0064188C" w:rsidRDefault="009847E2" w:rsidP="009A48C7">
                  <w:pPr>
                    <w:jc w:val="center"/>
                    <w:rPr>
                      <w:rFonts w:ascii="Century Gothic" w:hAnsi="Century Gothic"/>
                      <w:sz w:val="18"/>
                      <w:szCs w:val="18"/>
                    </w:rPr>
                  </w:pPr>
                  <w:r w:rsidRPr="0064188C">
                    <w:rPr>
                      <w:rFonts w:ascii="Century Gothic" w:hAnsi="Century Gothic"/>
                      <w:sz w:val="18"/>
                      <w:szCs w:val="18"/>
                    </w:rPr>
                    <w:t>-13%</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69</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+14%</w:t>
                  </w:r>
                </w:p>
              </w:tc>
              <w:tc>
                <w:tcPr>
                  <w:tcW w:w="708" w:type="dxa"/>
                </w:tcPr>
                <w:p w:rsidR="009847E2" w:rsidRPr="009847E2" w:rsidRDefault="009847E2" w:rsidP="009A48C7">
                  <w:pPr>
                    <w:jc w:val="cente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w:t>
                  </w:r>
                </w:p>
              </w:tc>
            </w:tr>
            <w:bookmarkEnd w:id="0"/>
          </w:tbl>
          <w:p w:rsidR="009A48C7" w:rsidRPr="0064188C" w:rsidRDefault="009A48C7" w:rsidP="009A48C7">
            <w:pPr>
              <w:rPr>
                <w:rFonts w:ascii="Century Gothic" w:hAnsi="Century Gothic"/>
                <w:color w:val="000000" w:themeColor="text1"/>
                <w:sz w:val="18"/>
                <w:szCs w:val="18"/>
              </w:rPr>
            </w:pPr>
          </w:p>
          <w:p w:rsidR="00207616" w:rsidRPr="0064188C" w:rsidRDefault="00207616" w:rsidP="00482539">
            <w:pPr>
              <w:jc w:val="center"/>
              <w:rPr>
                <w:rFonts w:ascii="Century Gothic" w:hAnsi="Century Gothic"/>
                <w:b/>
                <w:sz w:val="18"/>
                <w:szCs w:val="18"/>
              </w:rPr>
            </w:pPr>
          </w:p>
        </w:tc>
        <w:tc>
          <w:tcPr>
            <w:tcW w:w="4718" w:type="dxa"/>
          </w:tcPr>
          <w:p w:rsidR="00FE72D7" w:rsidRPr="007453DD" w:rsidRDefault="00FE72D7" w:rsidP="00FE72D7">
            <w:pPr>
              <w:rPr>
                <w:rFonts w:ascii="Century Gothic" w:hAnsi="Century Gothic" w:cs="Arial"/>
                <w:sz w:val="16"/>
                <w:szCs w:val="16"/>
              </w:rPr>
            </w:pPr>
            <w:r w:rsidRPr="007453DD">
              <w:rPr>
                <w:rFonts w:ascii="Century Gothic" w:hAnsi="Century Gothic" w:cs="Arial"/>
                <w:sz w:val="16"/>
                <w:szCs w:val="16"/>
              </w:rPr>
              <w:lastRenderedPageBreak/>
              <w:t>Results Autumn 2021</w:t>
            </w:r>
            <w:r w:rsidR="009847E2">
              <w:rPr>
                <w:rFonts w:ascii="Century Gothic" w:hAnsi="Century Gothic" w:cs="Arial"/>
                <w:sz w:val="16"/>
                <w:szCs w:val="16"/>
              </w:rPr>
              <w:t xml:space="preserve"> </w:t>
            </w:r>
            <w:r w:rsidR="009847E2">
              <w:rPr>
                <w:rFonts w:ascii="Century Gothic" w:hAnsi="Century Gothic" w:cs="Arial"/>
                <w:color w:val="C45911" w:themeColor="accent2" w:themeShade="BF"/>
                <w:sz w:val="16"/>
                <w:szCs w:val="16"/>
              </w:rPr>
              <w:t>Summer 22</w:t>
            </w:r>
            <w:r w:rsidR="00DE79AA" w:rsidRPr="007453DD">
              <w:rPr>
                <w:rFonts w:ascii="Century Gothic" w:hAnsi="Century Gothic" w:cs="Arial"/>
                <w:sz w:val="16"/>
                <w:szCs w:val="16"/>
              </w:rPr>
              <w:t xml:space="preserve"> taken from PPMs/classroom monitor</w:t>
            </w:r>
          </w:p>
          <w:tbl>
            <w:tblPr>
              <w:tblStyle w:val="TableGrid"/>
              <w:tblW w:w="0" w:type="auto"/>
              <w:tblLayout w:type="fixed"/>
              <w:tblLook w:val="04A0" w:firstRow="1" w:lastRow="0" w:firstColumn="1" w:lastColumn="0" w:noHBand="0" w:noVBand="1"/>
            </w:tblPr>
            <w:tblGrid>
              <w:gridCol w:w="1038"/>
              <w:gridCol w:w="714"/>
              <w:gridCol w:w="617"/>
              <w:gridCol w:w="664"/>
              <w:gridCol w:w="664"/>
            </w:tblGrid>
            <w:tr w:rsidR="009847E2" w:rsidRPr="00FE72D7" w:rsidTr="002C3B2A">
              <w:tc>
                <w:tcPr>
                  <w:tcW w:w="1038" w:type="dxa"/>
                </w:tcPr>
                <w:p w:rsidR="009847E2" w:rsidRPr="0064188C" w:rsidRDefault="009847E2" w:rsidP="00FE72D7">
                  <w:pPr>
                    <w:rPr>
                      <w:rFonts w:ascii="Century Gothic" w:hAnsi="Century Gothic" w:cs="Arial"/>
                      <w:sz w:val="16"/>
                      <w:szCs w:val="16"/>
                    </w:rPr>
                  </w:pPr>
                </w:p>
              </w:tc>
              <w:tc>
                <w:tcPr>
                  <w:tcW w:w="714"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PP ARE+</w:t>
                  </w:r>
                </w:p>
              </w:tc>
              <w:tc>
                <w:tcPr>
                  <w:tcW w:w="617" w:type="dxa"/>
                </w:tcPr>
                <w:p w:rsidR="009847E2" w:rsidRPr="0064188C" w:rsidRDefault="009847E2" w:rsidP="00FE72D7">
                  <w:pPr>
                    <w:rPr>
                      <w:rFonts w:ascii="Century Gothic" w:hAnsi="Century Gothic" w:cs="Arial"/>
                      <w:sz w:val="16"/>
                      <w:szCs w:val="16"/>
                    </w:rPr>
                  </w:pPr>
                  <w:proofErr w:type="gramStart"/>
                  <w:r w:rsidRPr="0064188C">
                    <w:rPr>
                      <w:rFonts w:ascii="Century Gothic" w:hAnsi="Century Gothic" w:cs="Arial"/>
                      <w:sz w:val="16"/>
                      <w:szCs w:val="16"/>
                    </w:rPr>
                    <w:t>Non PP</w:t>
                  </w:r>
                  <w:proofErr w:type="gramEnd"/>
                </w:p>
              </w:tc>
              <w:tc>
                <w:tcPr>
                  <w:tcW w:w="664" w:type="dxa"/>
                </w:tcPr>
                <w:p w:rsidR="009847E2" w:rsidRDefault="009847E2" w:rsidP="00FE72D7">
                  <w:pPr>
                    <w:rPr>
                      <w:rFonts w:ascii="Century Gothic" w:hAnsi="Century Gothic" w:cs="Arial"/>
                      <w:sz w:val="16"/>
                      <w:szCs w:val="16"/>
                    </w:rPr>
                  </w:pPr>
                  <w:r w:rsidRPr="0064188C">
                    <w:rPr>
                      <w:rFonts w:ascii="Century Gothic" w:hAnsi="Century Gothic" w:cs="Arial"/>
                      <w:sz w:val="16"/>
                      <w:szCs w:val="16"/>
                    </w:rPr>
                    <w:t>Gap</w:t>
                  </w:r>
                </w:p>
                <w:p w:rsidR="009847E2" w:rsidRPr="0064188C" w:rsidRDefault="009847E2" w:rsidP="00FE72D7">
                  <w:pPr>
                    <w:rPr>
                      <w:rFonts w:ascii="Century Gothic" w:hAnsi="Century Gothic" w:cs="Arial"/>
                      <w:sz w:val="16"/>
                      <w:szCs w:val="16"/>
                    </w:rPr>
                  </w:pPr>
                  <w:proofErr w:type="spellStart"/>
                  <w:r>
                    <w:rPr>
                      <w:rFonts w:ascii="Century Gothic" w:hAnsi="Century Gothic" w:cs="Arial"/>
                      <w:sz w:val="16"/>
                      <w:szCs w:val="16"/>
                    </w:rPr>
                    <w:t>Aut</w:t>
                  </w:r>
                  <w:proofErr w:type="spellEnd"/>
                </w:p>
              </w:tc>
              <w:tc>
                <w:tcPr>
                  <w:tcW w:w="664" w:type="dxa"/>
                </w:tcPr>
                <w:p w:rsidR="009847E2" w:rsidRPr="009847E2" w:rsidRDefault="009847E2" w:rsidP="00FE72D7">
                  <w:pPr>
                    <w:rPr>
                      <w:rFonts w:ascii="Century Gothic" w:hAnsi="Century Gothic" w:cs="Arial"/>
                      <w:color w:val="C45911" w:themeColor="accent2" w:themeShade="BF"/>
                      <w:sz w:val="16"/>
                      <w:szCs w:val="16"/>
                    </w:rPr>
                  </w:pPr>
                  <w:r>
                    <w:rPr>
                      <w:rFonts w:ascii="Century Gothic" w:hAnsi="Century Gothic" w:cs="Arial"/>
                      <w:color w:val="C45911" w:themeColor="accent2" w:themeShade="BF"/>
                      <w:sz w:val="16"/>
                      <w:szCs w:val="16"/>
                    </w:rPr>
                    <w:t>Sum</w:t>
                  </w:r>
                </w:p>
                <w:p w:rsidR="009847E2" w:rsidRPr="009847E2" w:rsidRDefault="009847E2"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Gap</w:t>
                  </w:r>
                </w:p>
              </w:tc>
            </w:tr>
            <w:tr w:rsidR="009847E2" w:rsidRPr="00FE72D7" w:rsidTr="002C3B2A">
              <w:tc>
                <w:tcPr>
                  <w:tcW w:w="1038"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Reading</w:t>
                  </w:r>
                </w:p>
              </w:tc>
              <w:tc>
                <w:tcPr>
                  <w:tcW w:w="714"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48</w:t>
                  </w:r>
                  <w:r>
                    <w:rPr>
                      <w:rFonts w:ascii="Century Gothic" w:hAnsi="Century Gothic" w:cs="Arial"/>
                      <w:sz w:val="16"/>
                      <w:szCs w:val="16"/>
                    </w:rPr>
                    <w:t xml:space="preserve"> </w:t>
                  </w:r>
                  <w:r>
                    <w:rPr>
                      <w:rFonts w:ascii="Century Gothic" w:hAnsi="Century Gothic" w:cs="Arial"/>
                      <w:color w:val="C45911" w:themeColor="accent2" w:themeShade="BF"/>
                      <w:sz w:val="16"/>
                      <w:szCs w:val="16"/>
                    </w:rPr>
                    <w:t>87</w:t>
                  </w:r>
                </w:p>
              </w:tc>
              <w:tc>
                <w:tcPr>
                  <w:tcW w:w="617"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79</w:t>
                  </w:r>
                  <w:r>
                    <w:rPr>
                      <w:rFonts w:ascii="Century Gothic" w:hAnsi="Century Gothic" w:cs="Arial"/>
                      <w:sz w:val="16"/>
                      <w:szCs w:val="16"/>
                    </w:rPr>
                    <w:t xml:space="preserve"> </w:t>
                  </w:r>
                  <w:r>
                    <w:rPr>
                      <w:rFonts w:ascii="Century Gothic" w:hAnsi="Century Gothic" w:cs="Arial"/>
                      <w:color w:val="C45911" w:themeColor="accent2" w:themeShade="BF"/>
                      <w:sz w:val="16"/>
                      <w:szCs w:val="16"/>
                    </w:rPr>
                    <w:t>89</w:t>
                  </w:r>
                </w:p>
              </w:tc>
              <w:tc>
                <w:tcPr>
                  <w:tcW w:w="664"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-31%</w:t>
                  </w:r>
                </w:p>
              </w:tc>
              <w:tc>
                <w:tcPr>
                  <w:tcW w:w="664" w:type="dxa"/>
                </w:tcPr>
                <w:p w:rsidR="009847E2" w:rsidRPr="009847E2" w:rsidRDefault="009847E2"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2</w:t>
                  </w:r>
                  <w:r w:rsidRPr="009847E2">
                    <w:rPr>
                      <w:rFonts w:ascii="Century Gothic" w:hAnsi="Century Gothic" w:cs="Arial"/>
                      <w:color w:val="C45911" w:themeColor="accent2" w:themeShade="BF"/>
                      <w:sz w:val="16"/>
                      <w:szCs w:val="16"/>
                    </w:rPr>
                    <w:t>%</w:t>
                  </w:r>
                </w:p>
              </w:tc>
            </w:tr>
            <w:tr w:rsidR="009847E2" w:rsidRPr="00FE72D7" w:rsidTr="002C3B2A">
              <w:tc>
                <w:tcPr>
                  <w:tcW w:w="1038"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Writing</w:t>
                  </w:r>
                </w:p>
              </w:tc>
              <w:tc>
                <w:tcPr>
                  <w:tcW w:w="714"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39</w:t>
                  </w:r>
                  <w:r>
                    <w:rPr>
                      <w:rFonts w:ascii="Century Gothic" w:hAnsi="Century Gothic" w:cs="Arial"/>
                      <w:sz w:val="16"/>
                      <w:szCs w:val="16"/>
                    </w:rPr>
                    <w:t xml:space="preserve"> </w:t>
                  </w:r>
                  <w:r>
                    <w:rPr>
                      <w:rFonts w:ascii="Century Gothic" w:hAnsi="Century Gothic" w:cs="Arial"/>
                      <w:color w:val="C45911" w:themeColor="accent2" w:themeShade="BF"/>
                      <w:sz w:val="16"/>
                      <w:szCs w:val="16"/>
                    </w:rPr>
                    <w:t>55</w:t>
                  </w:r>
                </w:p>
              </w:tc>
              <w:tc>
                <w:tcPr>
                  <w:tcW w:w="617"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78</w:t>
                  </w:r>
                  <w:r>
                    <w:rPr>
                      <w:rFonts w:ascii="Century Gothic" w:hAnsi="Century Gothic" w:cs="Arial"/>
                      <w:sz w:val="16"/>
                      <w:szCs w:val="16"/>
                    </w:rPr>
                    <w:t xml:space="preserve"> </w:t>
                  </w:r>
                  <w:r>
                    <w:rPr>
                      <w:rFonts w:ascii="Century Gothic" w:hAnsi="Century Gothic" w:cs="Arial"/>
                      <w:color w:val="C45911" w:themeColor="accent2" w:themeShade="BF"/>
                      <w:sz w:val="16"/>
                      <w:szCs w:val="16"/>
                    </w:rPr>
                    <w:t>79</w:t>
                  </w:r>
                </w:p>
              </w:tc>
              <w:tc>
                <w:tcPr>
                  <w:tcW w:w="664"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-39%</w:t>
                  </w:r>
                </w:p>
              </w:tc>
              <w:tc>
                <w:tcPr>
                  <w:tcW w:w="664" w:type="dxa"/>
                </w:tcPr>
                <w:p w:rsidR="009847E2" w:rsidRPr="009847E2" w:rsidRDefault="009847E2"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24</w:t>
                  </w:r>
                  <w:r w:rsidRPr="009847E2">
                    <w:rPr>
                      <w:rFonts w:ascii="Century Gothic" w:hAnsi="Century Gothic" w:cs="Arial"/>
                      <w:color w:val="C45911" w:themeColor="accent2" w:themeShade="BF"/>
                      <w:sz w:val="16"/>
                      <w:szCs w:val="16"/>
                    </w:rPr>
                    <w:t>%</w:t>
                  </w:r>
                </w:p>
              </w:tc>
            </w:tr>
            <w:tr w:rsidR="009847E2" w:rsidRPr="00FE72D7" w:rsidTr="002C3B2A">
              <w:tc>
                <w:tcPr>
                  <w:tcW w:w="1038"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Maths</w:t>
                  </w:r>
                </w:p>
              </w:tc>
              <w:tc>
                <w:tcPr>
                  <w:tcW w:w="714"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49</w:t>
                  </w:r>
                  <w:r>
                    <w:rPr>
                      <w:rFonts w:ascii="Century Gothic" w:hAnsi="Century Gothic" w:cs="Arial"/>
                      <w:sz w:val="16"/>
                      <w:szCs w:val="16"/>
                    </w:rPr>
                    <w:t xml:space="preserve"> </w:t>
                  </w:r>
                  <w:r>
                    <w:rPr>
                      <w:rFonts w:ascii="Century Gothic" w:hAnsi="Century Gothic" w:cs="Arial"/>
                      <w:color w:val="C45911" w:themeColor="accent2" w:themeShade="BF"/>
                      <w:sz w:val="16"/>
                      <w:szCs w:val="16"/>
                    </w:rPr>
                    <w:t>69</w:t>
                  </w:r>
                </w:p>
              </w:tc>
              <w:tc>
                <w:tcPr>
                  <w:tcW w:w="617" w:type="dxa"/>
                </w:tcPr>
                <w:p w:rsidR="009847E2" w:rsidRPr="009847E2" w:rsidRDefault="009847E2"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82</w:t>
                  </w:r>
                  <w:r>
                    <w:rPr>
                      <w:rFonts w:ascii="Century Gothic" w:hAnsi="Century Gothic" w:cs="Arial"/>
                      <w:sz w:val="16"/>
                      <w:szCs w:val="16"/>
                    </w:rPr>
                    <w:t xml:space="preserve"> </w:t>
                  </w:r>
                  <w:r>
                    <w:rPr>
                      <w:rFonts w:ascii="Century Gothic" w:hAnsi="Century Gothic" w:cs="Arial"/>
                      <w:color w:val="C45911" w:themeColor="accent2" w:themeShade="BF"/>
                      <w:sz w:val="16"/>
                      <w:szCs w:val="16"/>
                    </w:rPr>
                    <w:t>84</w:t>
                  </w:r>
                </w:p>
              </w:tc>
              <w:tc>
                <w:tcPr>
                  <w:tcW w:w="664" w:type="dxa"/>
                </w:tcPr>
                <w:p w:rsidR="009847E2" w:rsidRPr="0064188C" w:rsidRDefault="009847E2" w:rsidP="00FE72D7">
                  <w:pPr>
                    <w:rPr>
                      <w:rFonts w:ascii="Century Gothic" w:hAnsi="Century Gothic" w:cs="Arial"/>
                      <w:sz w:val="16"/>
                      <w:szCs w:val="16"/>
                    </w:rPr>
                  </w:pPr>
                  <w:r w:rsidRPr="0064188C">
                    <w:rPr>
                      <w:rFonts w:ascii="Century Gothic" w:hAnsi="Century Gothic" w:cs="Arial"/>
                      <w:sz w:val="16"/>
                      <w:szCs w:val="16"/>
                    </w:rPr>
                    <w:t>-33%</w:t>
                  </w:r>
                </w:p>
              </w:tc>
              <w:tc>
                <w:tcPr>
                  <w:tcW w:w="664" w:type="dxa"/>
                </w:tcPr>
                <w:p w:rsidR="009847E2" w:rsidRPr="009847E2" w:rsidRDefault="009847E2"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15</w:t>
                  </w:r>
                  <w:r w:rsidRPr="009847E2">
                    <w:rPr>
                      <w:rFonts w:ascii="Century Gothic" w:hAnsi="Century Gothic" w:cs="Arial"/>
                      <w:color w:val="C45911" w:themeColor="accent2" w:themeShade="BF"/>
                      <w:sz w:val="16"/>
                      <w:szCs w:val="16"/>
                    </w:rPr>
                    <w:t>%</w:t>
                  </w:r>
                </w:p>
              </w:tc>
            </w:tr>
          </w:tbl>
          <w:p w:rsidR="002C3B2A" w:rsidRPr="0064188C" w:rsidRDefault="002C3B2A" w:rsidP="00E97F17">
            <w:pPr>
              <w:rPr>
                <w:rFonts w:ascii="Century Gothic" w:hAnsi="Century Gothic"/>
                <w:sz w:val="16"/>
                <w:szCs w:val="16"/>
              </w:rPr>
            </w:pPr>
          </w:p>
          <w:p w:rsidR="00E97F17" w:rsidRPr="007453DD" w:rsidRDefault="00E97F17" w:rsidP="00E97F17">
            <w:pPr>
              <w:rPr>
                <w:rFonts w:ascii="Century Gothic" w:hAnsi="Century Gothic"/>
                <w:sz w:val="16"/>
                <w:szCs w:val="16"/>
              </w:rPr>
            </w:pPr>
            <w:r w:rsidRPr="007453DD">
              <w:rPr>
                <w:rFonts w:ascii="Century Gothic" w:hAnsi="Century Gothic"/>
                <w:sz w:val="16"/>
                <w:szCs w:val="16"/>
              </w:rPr>
              <w:t>Focus on improving QFT in maths through training with BEST academy</w:t>
            </w:r>
            <w:r w:rsidR="006D250C" w:rsidRPr="007453DD">
              <w:rPr>
                <w:rFonts w:ascii="Century Gothic" w:hAnsi="Century Gothic"/>
                <w:sz w:val="16"/>
                <w:szCs w:val="16"/>
              </w:rPr>
              <w:t>.</w:t>
            </w:r>
          </w:p>
          <w:p w:rsidR="006D250C" w:rsidRPr="007453DD" w:rsidRDefault="006D250C" w:rsidP="00E97F17">
            <w:pPr>
              <w:rPr>
                <w:rFonts w:ascii="Century Gothic" w:hAnsi="Century Gothic"/>
                <w:sz w:val="16"/>
                <w:szCs w:val="16"/>
              </w:rPr>
            </w:pPr>
          </w:p>
          <w:p w:rsidR="006D250C" w:rsidRPr="007453DD" w:rsidRDefault="006D250C" w:rsidP="00E97F17">
            <w:pPr>
              <w:rPr>
                <w:rFonts w:ascii="Century Gothic" w:hAnsi="Century Gothic"/>
                <w:sz w:val="16"/>
                <w:szCs w:val="16"/>
              </w:rPr>
            </w:pPr>
            <w:r w:rsidRPr="007453DD">
              <w:rPr>
                <w:rFonts w:ascii="Century Gothic" w:hAnsi="Century Gothic"/>
                <w:sz w:val="16"/>
                <w:szCs w:val="16"/>
              </w:rPr>
              <w:t>Whole school introduction of RADY (raising the attainment of disadvantaged youngsters). Year to focus on year 4.</w:t>
            </w:r>
          </w:p>
          <w:p w:rsidR="008B5E5E" w:rsidRDefault="008B5E5E" w:rsidP="00E97F17">
            <w:pPr>
              <w:rPr>
                <w:rFonts w:ascii="Century Gothic" w:hAnsi="Century Gothic"/>
                <w:b/>
                <w:color w:val="00B050"/>
                <w:sz w:val="16"/>
                <w:szCs w:val="16"/>
              </w:rPr>
            </w:pPr>
          </w:p>
          <w:p w:rsidR="0064188C" w:rsidRDefault="0064188C" w:rsidP="00E97F17">
            <w:pPr>
              <w:rPr>
                <w:rFonts w:ascii="Century Gothic" w:hAnsi="Century Gothic"/>
                <w:b/>
                <w:color w:val="00B050"/>
                <w:sz w:val="16"/>
                <w:szCs w:val="16"/>
              </w:rPr>
            </w:pPr>
            <w:r w:rsidRPr="0064188C">
              <w:rPr>
                <w:rFonts w:ascii="Century Gothic" w:hAnsi="Century Gothic"/>
                <w:b/>
                <w:color w:val="00B050"/>
                <w:sz w:val="16"/>
                <w:szCs w:val="16"/>
              </w:rPr>
              <w:t xml:space="preserve">Gaps are narrowing in </w:t>
            </w:r>
            <w:r w:rsidR="00E94AD5">
              <w:rPr>
                <w:rFonts w:ascii="Century Gothic" w:hAnsi="Century Gothic"/>
                <w:b/>
                <w:color w:val="00B050"/>
                <w:sz w:val="16"/>
                <w:szCs w:val="16"/>
              </w:rPr>
              <w:t>reading and writing, but has grown slightly in Maths (Doodle in Y2/SEND needs) Year 4?</w:t>
            </w:r>
          </w:p>
          <w:p w:rsidR="009847E2" w:rsidRDefault="009847E2" w:rsidP="00E97F17">
            <w:pPr>
              <w:rPr>
                <w:rFonts w:ascii="Century Gothic" w:hAnsi="Century Gothic"/>
                <w:b/>
                <w:sz w:val="16"/>
                <w:szCs w:val="16"/>
              </w:rPr>
            </w:pPr>
          </w:p>
          <w:p w:rsidR="009847E2" w:rsidRDefault="009847E2"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By the end of the year, gaps had narrowed significantly (15%) in Reading (17% gap July 21, to 2% gap July 22)</w:t>
            </w:r>
          </w:p>
          <w:p w:rsidR="009847E2" w:rsidRDefault="009847E2"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The gap had grown slightly (2%)  in writing from 22% in July 21, to 24% in July 22</w:t>
            </w:r>
          </w:p>
          <w:p w:rsidR="009847E2" w:rsidRDefault="009847E2"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The gap had narrowed slightly (3%) in Maths, from -18% July 21 to -15% July 22</w:t>
            </w:r>
          </w:p>
          <w:p w:rsidR="009847E2" w:rsidRDefault="009847E2" w:rsidP="00E97F17">
            <w:pPr>
              <w:rPr>
                <w:rFonts w:ascii="Century Gothic" w:hAnsi="Century Gothic"/>
                <w:b/>
                <w:color w:val="C45911" w:themeColor="accent2" w:themeShade="BF"/>
                <w:sz w:val="16"/>
                <w:szCs w:val="16"/>
              </w:rPr>
            </w:pPr>
          </w:p>
          <w:p w:rsidR="009847E2" w:rsidRDefault="009847E2" w:rsidP="00E97F17">
            <w:pPr>
              <w:rPr>
                <w:rFonts w:ascii="Century Gothic" w:hAnsi="Century Gothic"/>
                <w:b/>
                <w:color w:val="C45911" w:themeColor="accent2" w:themeShade="BF"/>
                <w:sz w:val="16"/>
                <w:szCs w:val="16"/>
              </w:rPr>
            </w:pPr>
          </w:p>
          <w:p w:rsidR="009847E2" w:rsidRDefault="009847E2" w:rsidP="00E97F17">
            <w:pPr>
              <w:rPr>
                <w:rFonts w:ascii="Century Gothic" w:hAnsi="Century Gothic"/>
                <w:b/>
                <w:color w:val="C45911" w:themeColor="accent2" w:themeShade="BF"/>
                <w:sz w:val="16"/>
                <w:szCs w:val="16"/>
              </w:rPr>
            </w:pPr>
          </w:p>
          <w:p w:rsidR="009847E2" w:rsidRDefault="009847E2" w:rsidP="00E97F17">
            <w:pPr>
              <w:rPr>
                <w:rFonts w:ascii="Century Gothic" w:hAnsi="Century Gothic"/>
                <w:b/>
                <w:color w:val="C45911" w:themeColor="accent2" w:themeShade="BF"/>
                <w:sz w:val="16"/>
                <w:szCs w:val="16"/>
              </w:rPr>
            </w:pPr>
          </w:p>
          <w:p w:rsidR="009847E2" w:rsidRDefault="009847E2"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 xml:space="preserve">Significantly more PP children are </w:t>
            </w:r>
            <w:proofErr w:type="spellStart"/>
            <w:r>
              <w:rPr>
                <w:rFonts w:ascii="Century Gothic" w:hAnsi="Century Gothic"/>
                <w:b/>
                <w:color w:val="C45911" w:themeColor="accent2" w:themeShade="BF"/>
                <w:sz w:val="16"/>
                <w:szCs w:val="16"/>
              </w:rPr>
              <w:t>ARE</w:t>
            </w:r>
            <w:proofErr w:type="spellEnd"/>
            <w:r>
              <w:rPr>
                <w:rFonts w:ascii="Century Gothic" w:hAnsi="Century Gothic"/>
                <w:b/>
                <w:color w:val="C45911" w:themeColor="accent2" w:themeShade="BF"/>
                <w:sz w:val="16"/>
                <w:szCs w:val="16"/>
              </w:rPr>
              <w:t xml:space="preserve"> this year than last, in all subjects.  Mostly in Reading, but significantly in </w:t>
            </w:r>
            <w:r w:rsidR="00A26559">
              <w:rPr>
                <w:rFonts w:ascii="Century Gothic" w:hAnsi="Century Gothic"/>
                <w:b/>
                <w:color w:val="C45911" w:themeColor="accent2" w:themeShade="BF"/>
                <w:sz w:val="16"/>
                <w:szCs w:val="16"/>
              </w:rPr>
              <w:t>writing and maths too.</w:t>
            </w:r>
          </w:p>
          <w:p w:rsidR="00A26559" w:rsidRDefault="00A26559" w:rsidP="00E97F17">
            <w:pPr>
              <w:rPr>
                <w:rFonts w:ascii="Century Gothic" w:hAnsi="Century Gothic"/>
                <w:b/>
                <w:color w:val="C45911" w:themeColor="accent2" w:themeShade="BF"/>
                <w:sz w:val="16"/>
                <w:szCs w:val="16"/>
              </w:rPr>
            </w:pPr>
          </w:p>
          <w:p w:rsidR="00A26559" w:rsidRDefault="00A26559"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Compared to 2019 data (last we have pre-</w:t>
            </w:r>
            <w:proofErr w:type="spellStart"/>
            <w:r>
              <w:rPr>
                <w:rFonts w:ascii="Century Gothic" w:hAnsi="Century Gothic"/>
                <w:b/>
                <w:color w:val="C45911" w:themeColor="accent2" w:themeShade="BF"/>
                <w:sz w:val="16"/>
                <w:szCs w:val="16"/>
              </w:rPr>
              <w:t>covid</w:t>
            </w:r>
            <w:proofErr w:type="spellEnd"/>
            <w:r>
              <w:rPr>
                <w:rFonts w:ascii="Century Gothic" w:hAnsi="Century Gothic"/>
                <w:b/>
                <w:color w:val="C45911" w:themeColor="accent2" w:themeShade="BF"/>
                <w:sz w:val="16"/>
                <w:szCs w:val="16"/>
              </w:rPr>
              <w:t xml:space="preserve">), more PP children are </w:t>
            </w:r>
            <w:proofErr w:type="spellStart"/>
            <w:r>
              <w:rPr>
                <w:rFonts w:ascii="Century Gothic" w:hAnsi="Century Gothic"/>
                <w:b/>
                <w:color w:val="C45911" w:themeColor="accent2" w:themeShade="BF"/>
                <w:sz w:val="16"/>
                <w:szCs w:val="16"/>
              </w:rPr>
              <w:t>ARE</w:t>
            </w:r>
            <w:proofErr w:type="spellEnd"/>
            <w:r>
              <w:rPr>
                <w:rFonts w:ascii="Century Gothic" w:hAnsi="Century Gothic"/>
                <w:b/>
                <w:color w:val="C45911" w:themeColor="accent2" w:themeShade="BF"/>
                <w:sz w:val="16"/>
                <w:szCs w:val="16"/>
              </w:rPr>
              <w:t xml:space="preserve"> across the school in reading (+7%) and maths (+1%), but -10% in writing.</w:t>
            </w:r>
          </w:p>
          <w:p w:rsidR="00A26559" w:rsidRDefault="00A26559" w:rsidP="00E97F17">
            <w:pPr>
              <w:rPr>
                <w:rFonts w:ascii="Century Gothic" w:hAnsi="Century Gothic"/>
                <w:b/>
                <w:color w:val="C45911" w:themeColor="accent2" w:themeShade="BF"/>
                <w:sz w:val="16"/>
                <w:szCs w:val="16"/>
              </w:rPr>
            </w:pPr>
          </w:p>
          <w:p w:rsidR="00A26559" w:rsidRPr="009847E2" w:rsidRDefault="00A26559" w:rsidP="00E97F17">
            <w:pPr>
              <w:rPr>
                <w:rFonts w:ascii="Century Gothic" w:hAnsi="Century Gothic"/>
                <w:b/>
                <w:color w:val="C45911" w:themeColor="accent2" w:themeShade="BF"/>
                <w:sz w:val="16"/>
                <w:szCs w:val="16"/>
              </w:rPr>
            </w:pPr>
            <w:r>
              <w:rPr>
                <w:rFonts w:ascii="Century Gothic" w:hAnsi="Century Gothic"/>
                <w:b/>
                <w:color w:val="C45911" w:themeColor="accent2" w:themeShade="BF"/>
                <w:sz w:val="16"/>
                <w:szCs w:val="16"/>
              </w:rPr>
              <w:t>Covid has had the biggest impact on writing in PP children.</w:t>
            </w:r>
          </w:p>
        </w:tc>
      </w:tr>
      <w:tr w:rsidR="00E97F17" w:rsidTr="002C3B2A">
        <w:trPr>
          <w:trHeight w:val="258"/>
        </w:trPr>
        <w:tc>
          <w:tcPr>
            <w:tcW w:w="4172" w:type="dxa"/>
          </w:tcPr>
          <w:p w:rsidR="00E97F17"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lastRenderedPageBreak/>
              <w:t xml:space="preserve">Historically PP numbers at RLS have remained </w:t>
            </w:r>
            <w:r w:rsidR="006D250C" w:rsidRPr="0064188C">
              <w:rPr>
                <w:rFonts w:ascii="Century Gothic" w:hAnsi="Century Gothic"/>
                <w:sz w:val="18"/>
                <w:szCs w:val="18"/>
              </w:rPr>
              <w:t>fairly static</w:t>
            </w:r>
            <w:r w:rsidRPr="0064188C">
              <w:rPr>
                <w:rFonts w:ascii="Century Gothic" w:hAnsi="Century Gothic"/>
                <w:sz w:val="18"/>
                <w:szCs w:val="18"/>
              </w:rPr>
              <w:t xml:space="preserve">. </w:t>
            </w:r>
          </w:p>
        </w:tc>
        <w:tc>
          <w:tcPr>
            <w:tcW w:w="6738" w:type="dxa"/>
          </w:tcPr>
          <w:p w:rsidR="00E97F17"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Over 2020-2021 we saw a 38% increase in PP pupils from 31 to 43 </w:t>
            </w:r>
          </w:p>
          <w:p w:rsidR="00E97F17"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We have seen an 11% increase in PP pupils also being on the SEN register since 2018-2019 from 19% to 30%</w:t>
            </w:r>
          </w:p>
          <w:p w:rsidR="00A26559" w:rsidRPr="00A26559" w:rsidRDefault="00A26559" w:rsidP="00E97F17">
            <w:pPr>
              <w:pStyle w:val="ListParagraph"/>
              <w:numPr>
                <w:ilvl w:val="0"/>
                <w:numId w:val="1"/>
              </w:numPr>
              <w:rPr>
                <w:rFonts w:ascii="Century Gothic" w:hAnsi="Century Gothic"/>
                <w:sz w:val="18"/>
                <w:szCs w:val="18"/>
              </w:rPr>
            </w:pPr>
            <w:r>
              <w:rPr>
                <w:rFonts w:ascii="Century Gothic" w:hAnsi="Century Gothic"/>
                <w:color w:val="C45911" w:themeColor="accent2" w:themeShade="BF"/>
                <w:sz w:val="18"/>
                <w:szCs w:val="18"/>
              </w:rPr>
              <w:t xml:space="preserve">21/22 we have 36 PP children of which </w:t>
            </w:r>
            <w:r w:rsidR="009D550B">
              <w:rPr>
                <w:rFonts w:ascii="Century Gothic" w:hAnsi="Century Gothic"/>
                <w:color w:val="C45911" w:themeColor="accent2" w:themeShade="BF"/>
                <w:sz w:val="18"/>
                <w:szCs w:val="18"/>
              </w:rPr>
              <w:t>27</w:t>
            </w:r>
            <w:r>
              <w:rPr>
                <w:rFonts w:ascii="Century Gothic" w:hAnsi="Century Gothic"/>
                <w:color w:val="C45911" w:themeColor="accent2" w:themeShade="BF"/>
                <w:sz w:val="18"/>
                <w:szCs w:val="18"/>
              </w:rPr>
              <w:t xml:space="preserve">% are SEND (with </w:t>
            </w:r>
            <w:r w:rsidR="009D550B">
              <w:rPr>
                <w:rFonts w:ascii="Century Gothic" w:hAnsi="Century Gothic"/>
                <w:color w:val="C45911" w:themeColor="accent2" w:themeShade="BF"/>
                <w:sz w:val="18"/>
                <w:szCs w:val="18"/>
              </w:rPr>
              <w:t>4</w:t>
            </w:r>
            <w:bookmarkStart w:id="1" w:name="_GoBack"/>
            <w:bookmarkEnd w:id="1"/>
            <w:r>
              <w:rPr>
                <w:rFonts w:ascii="Century Gothic" w:hAnsi="Century Gothic"/>
                <w:color w:val="C45911" w:themeColor="accent2" w:themeShade="BF"/>
                <w:sz w:val="18"/>
                <w:szCs w:val="18"/>
              </w:rPr>
              <w:t xml:space="preserve"> EHCPs)</w:t>
            </w:r>
          </w:p>
          <w:p w:rsidR="00A26559" w:rsidRPr="0064188C" w:rsidRDefault="00A26559" w:rsidP="00E97F17">
            <w:pPr>
              <w:pStyle w:val="ListParagraph"/>
              <w:numPr>
                <w:ilvl w:val="0"/>
                <w:numId w:val="1"/>
              </w:numPr>
              <w:rPr>
                <w:rFonts w:ascii="Century Gothic" w:hAnsi="Century Gothic"/>
                <w:sz w:val="18"/>
                <w:szCs w:val="18"/>
              </w:rPr>
            </w:pPr>
            <w:r w:rsidRPr="00A26559">
              <w:rPr>
                <w:rFonts w:ascii="Century Gothic" w:hAnsi="Century Gothic"/>
                <w:color w:val="C45911" w:themeColor="accent2" w:themeShade="BF"/>
                <w:sz w:val="18"/>
                <w:szCs w:val="18"/>
              </w:rPr>
              <w:t>70% of our PP children are boys and only 30% are girls</w:t>
            </w:r>
          </w:p>
        </w:tc>
        <w:tc>
          <w:tcPr>
            <w:tcW w:w="4718" w:type="dxa"/>
          </w:tcPr>
          <w:p w:rsidR="00E97F17" w:rsidRPr="0064188C" w:rsidRDefault="006D250C" w:rsidP="006D250C">
            <w:pPr>
              <w:rPr>
                <w:rFonts w:ascii="Century Gothic" w:hAnsi="Century Gothic"/>
                <w:sz w:val="18"/>
                <w:szCs w:val="18"/>
              </w:rPr>
            </w:pPr>
            <w:r w:rsidRPr="0064188C">
              <w:rPr>
                <w:rFonts w:ascii="Century Gothic" w:hAnsi="Century Gothic"/>
                <w:sz w:val="18"/>
                <w:szCs w:val="18"/>
              </w:rPr>
              <w:t>Inclusion Lead to take over operational side of PP strategy to ensure a consistent approach in supporting our disadvantaged children.</w:t>
            </w:r>
          </w:p>
          <w:p w:rsidR="0064188C" w:rsidRDefault="0064188C" w:rsidP="006D250C">
            <w:pPr>
              <w:rPr>
                <w:rFonts w:ascii="Century Gothic" w:hAnsi="Century Gothic"/>
                <w:color w:val="00B050"/>
                <w:sz w:val="18"/>
                <w:szCs w:val="18"/>
              </w:rPr>
            </w:pPr>
            <w:r w:rsidRPr="0064188C">
              <w:rPr>
                <w:rFonts w:ascii="Century Gothic" w:hAnsi="Century Gothic"/>
                <w:color w:val="00B050"/>
                <w:sz w:val="18"/>
                <w:szCs w:val="18"/>
              </w:rPr>
              <w:t>Feb 22 = 35 children of which 26% are also SEND</w:t>
            </w:r>
          </w:p>
          <w:p w:rsidR="00A26559" w:rsidRDefault="00A26559" w:rsidP="006D250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SEND PP is increasing</w:t>
            </w:r>
          </w:p>
          <w:p w:rsidR="00A26559" w:rsidRPr="00A26559" w:rsidRDefault="00A26559" w:rsidP="006D250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Boys PP is increasing</w:t>
            </w:r>
          </w:p>
        </w:tc>
      </w:tr>
      <w:tr w:rsidR="00E97F17" w:rsidTr="002C3B2A">
        <w:trPr>
          <w:trHeight w:val="258"/>
        </w:trPr>
        <w:tc>
          <w:tcPr>
            <w:tcW w:w="4172" w:type="dxa"/>
          </w:tcPr>
          <w:p w:rsidR="00E97F17" w:rsidRDefault="00A26559" w:rsidP="005303F8">
            <w:pPr>
              <w:pStyle w:val="ListParagraph"/>
              <w:numPr>
                <w:ilvl w:val="0"/>
                <w:numId w:val="1"/>
              </w:numPr>
              <w:rPr>
                <w:rFonts w:ascii="Century Gothic" w:hAnsi="Century Gothic"/>
                <w:sz w:val="18"/>
                <w:szCs w:val="18"/>
              </w:rPr>
            </w:pPr>
            <w:r>
              <w:rPr>
                <w:rFonts w:ascii="Century Gothic" w:hAnsi="Century Gothic"/>
                <w:sz w:val="18"/>
                <w:szCs w:val="18"/>
              </w:rPr>
              <w:t>Historically, children at Russell have attended well.  Usually at least 96% and one year 97%</w:t>
            </w:r>
          </w:p>
          <w:p w:rsidR="00A26559" w:rsidRPr="0064188C" w:rsidRDefault="00A26559" w:rsidP="005303F8">
            <w:pPr>
              <w:pStyle w:val="ListParagraph"/>
              <w:numPr>
                <w:ilvl w:val="0"/>
                <w:numId w:val="1"/>
              </w:numPr>
              <w:rPr>
                <w:rFonts w:ascii="Century Gothic" w:hAnsi="Century Gothic"/>
                <w:sz w:val="18"/>
                <w:szCs w:val="18"/>
              </w:rPr>
            </w:pPr>
            <w:r>
              <w:rPr>
                <w:rFonts w:ascii="Century Gothic" w:hAnsi="Century Gothic"/>
                <w:sz w:val="18"/>
                <w:szCs w:val="18"/>
              </w:rPr>
              <w:t>Covid has massively affected attendance</w:t>
            </w:r>
          </w:p>
        </w:tc>
        <w:tc>
          <w:tcPr>
            <w:tcW w:w="6738" w:type="dxa"/>
          </w:tcPr>
          <w:p w:rsidR="002C3B2A"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Whole school attenda</w:t>
            </w:r>
            <w:r w:rsidR="002C3B2A" w:rsidRPr="0064188C">
              <w:rPr>
                <w:rFonts w:ascii="Century Gothic" w:hAnsi="Century Gothic"/>
                <w:sz w:val="18"/>
                <w:szCs w:val="18"/>
              </w:rPr>
              <w:t xml:space="preserve">nce remained high at 97.93% </w:t>
            </w:r>
            <w:r w:rsidR="00A26559">
              <w:rPr>
                <w:rFonts w:ascii="Century Gothic" w:hAnsi="Century Gothic"/>
                <w:sz w:val="18"/>
                <w:szCs w:val="18"/>
              </w:rPr>
              <w:t>(but Covid absence didn’t count!)</w:t>
            </w:r>
          </w:p>
          <w:p w:rsidR="00E97F17" w:rsidRPr="0064188C" w:rsidRDefault="002C3B2A"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PP attendance </w:t>
            </w:r>
            <w:r w:rsidR="00E97F17" w:rsidRPr="0064188C">
              <w:rPr>
                <w:rFonts w:ascii="Century Gothic" w:hAnsi="Century Gothic"/>
                <w:sz w:val="18"/>
                <w:szCs w:val="18"/>
              </w:rPr>
              <w:t>96.83 higher than whole school NA</w:t>
            </w:r>
            <w:r w:rsidR="00A26559">
              <w:rPr>
                <w:rFonts w:ascii="Century Gothic" w:hAnsi="Century Gothic"/>
                <w:sz w:val="18"/>
                <w:szCs w:val="18"/>
              </w:rPr>
              <w:t xml:space="preserve"> (but Covid absence didn’t count!)</w:t>
            </w:r>
          </w:p>
        </w:tc>
        <w:tc>
          <w:tcPr>
            <w:tcW w:w="4718" w:type="dxa"/>
          </w:tcPr>
          <w:p w:rsidR="00E97F17" w:rsidRPr="0064188C" w:rsidRDefault="00F27AF5" w:rsidP="00F27AF5">
            <w:pPr>
              <w:rPr>
                <w:rFonts w:ascii="Century Gothic" w:hAnsi="Century Gothic"/>
                <w:sz w:val="18"/>
                <w:szCs w:val="18"/>
              </w:rPr>
            </w:pPr>
            <w:r w:rsidRPr="0064188C">
              <w:rPr>
                <w:rFonts w:ascii="Century Gothic" w:hAnsi="Century Gothic"/>
                <w:sz w:val="18"/>
                <w:szCs w:val="18"/>
              </w:rPr>
              <w:t>Continual monitoring of attendance by DHT/HT. Appropriate support offered by DHT/HT/IL</w:t>
            </w:r>
          </w:p>
          <w:p w:rsidR="0064188C" w:rsidRPr="00B14980" w:rsidRDefault="0064188C" w:rsidP="00F27AF5">
            <w:pPr>
              <w:rPr>
                <w:rFonts w:ascii="Century Gothic" w:hAnsi="Century Gothic"/>
                <w:color w:val="C45911" w:themeColor="accent2" w:themeShade="BF"/>
                <w:sz w:val="18"/>
                <w:szCs w:val="18"/>
              </w:rPr>
            </w:pPr>
            <w:r w:rsidRPr="0064188C">
              <w:rPr>
                <w:rFonts w:ascii="Century Gothic" w:hAnsi="Century Gothic"/>
                <w:color w:val="00B050"/>
                <w:sz w:val="18"/>
                <w:szCs w:val="18"/>
              </w:rPr>
              <w:t>Autumn term attendance really suffered from Covid absence:</w:t>
            </w:r>
            <w:r w:rsidR="00B14980">
              <w:rPr>
                <w:rFonts w:ascii="Century Gothic" w:hAnsi="Century Gothic"/>
                <w:color w:val="00B050"/>
                <w:sz w:val="18"/>
                <w:szCs w:val="18"/>
              </w:rPr>
              <w:t xml:space="preserve"> </w:t>
            </w:r>
            <w:r w:rsidR="00B14980">
              <w:rPr>
                <w:rFonts w:ascii="Century Gothic" w:hAnsi="Century Gothic"/>
                <w:color w:val="C45911" w:themeColor="accent2" w:themeShade="BF"/>
                <w:sz w:val="18"/>
                <w:szCs w:val="18"/>
              </w:rPr>
              <w:t>Year attendance – all – 94% (PP SEND = 93%)</w:t>
            </w:r>
          </w:p>
          <w:tbl>
            <w:tblPr>
              <w:tblStyle w:val="TableGrid"/>
              <w:tblW w:w="4507" w:type="dxa"/>
              <w:tblLayout w:type="fixed"/>
              <w:tblLook w:val="04A0" w:firstRow="1" w:lastRow="0" w:firstColumn="1" w:lastColumn="0" w:noHBand="0" w:noVBand="1"/>
            </w:tblPr>
            <w:tblGrid>
              <w:gridCol w:w="2607"/>
              <w:gridCol w:w="950"/>
              <w:gridCol w:w="950"/>
            </w:tblGrid>
            <w:tr w:rsidR="00A26559" w:rsidTr="00A26559">
              <w:trPr>
                <w:trHeight w:val="621"/>
              </w:trPr>
              <w:tc>
                <w:tcPr>
                  <w:tcW w:w="2607"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Autumn attendance all</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 xml:space="preserve">93% (1.2% </w:t>
                  </w:r>
                  <w:proofErr w:type="spellStart"/>
                  <w:r>
                    <w:rPr>
                      <w:rFonts w:ascii="Century Gothic" w:hAnsi="Century Gothic"/>
                      <w:color w:val="00B050"/>
                      <w:sz w:val="18"/>
                      <w:szCs w:val="18"/>
                    </w:rPr>
                    <w:t>unauth</w:t>
                  </w:r>
                  <w:proofErr w:type="spellEnd"/>
                  <w:r>
                    <w:rPr>
                      <w:rFonts w:ascii="Century Gothic" w:hAnsi="Century Gothic"/>
                      <w:color w:val="00B050"/>
                      <w:sz w:val="18"/>
                      <w:szCs w:val="18"/>
                    </w:rPr>
                    <w:t>)</w:t>
                  </w:r>
                </w:p>
              </w:tc>
              <w:tc>
                <w:tcPr>
                  <w:tcW w:w="950" w:type="dxa"/>
                </w:tcPr>
                <w:p w:rsidR="00A26559" w:rsidRPr="00A26559" w:rsidRDefault="00A2655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93.5%</w:t>
                  </w:r>
                </w:p>
              </w:tc>
            </w:tr>
            <w:tr w:rsidR="00A26559" w:rsidTr="00A26559">
              <w:trPr>
                <w:trHeight w:val="197"/>
              </w:trPr>
              <w:tc>
                <w:tcPr>
                  <w:tcW w:w="2607"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PA (all)</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26%-29%</w:t>
                  </w:r>
                </w:p>
              </w:tc>
              <w:tc>
                <w:tcPr>
                  <w:tcW w:w="950" w:type="dxa"/>
                </w:tcPr>
                <w:p w:rsidR="00A26559" w:rsidRPr="00A26559" w:rsidRDefault="00A2655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1</w:t>
                  </w:r>
                  <w:r w:rsidR="00B14980">
                    <w:rPr>
                      <w:rFonts w:ascii="Century Gothic" w:hAnsi="Century Gothic"/>
                      <w:color w:val="C45911" w:themeColor="accent2" w:themeShade="BF"/>
                      <w:sz w:val="18"/>
                      <w:szCs w:val="18"/>
                    </w:rPr>
                    <w:t>6</w:t>
                  </w:r>
                  <w:r w:rsidRPr="00A26559">
                    <w:rPr>
                      <w:rFonts w:ascii="Century Gothic" w:hAnsi="Century Gothic"/>
                      <w:color w:val="C45911" w:themeColor="accent2" w:themeShade="BF"/>
                      <w:sz w:val="18"/>
                      <w:szCs w:val="18"/>
                    </w:rPr>
                    <w:t>%</w:t>
                  </w:r>
                </w:p>
              </w:tc>
            </w:tr>
            <w:tr w:rsidR="00A26559" w:rsidTr="00A26559">
              <w:trPr>
                <w:trHeight w:val="211"/>
              </w:trPr>
              <w:tc>
                <w:tcPr>
                  <w:tcW w:w="2607"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PA (PP)</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33%</w:t>
                  </w:r>
                </w:p>
              </w:tc>
              <w:tc>
                <w:tcPr>
                  <w:tcW w:w="950" w:type="dxa"/>
                </w:tcPr>
                <w:p w:rsidR="00A26559" w:rsidRPr="00A26559" w:rsidRDefault="00A2655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2</w:t>
                  </w:r>
                  <w:r w:rsidR="00B14980">
                    <w:rPr>
                      <w:rFonts w:ascii="Century Gothic" w:hAnsi="Century Gothic"/>
                      <w:color w:val="C45911" w:themeColor="accent2" w:themeShade="BF"/>
                      <w:sz w:val="18"/>
                      <w:szCs w:val="18"/>
                    </w:rPr>
                    <w:t>4</w:t>
                  </w:r>
                  <w:r w:rsidRPr="00A26559">
                    <w:rPr>
                      <w:rFonts w:ascii="Century Gothic" w:hAnsi="Century Gothic"/>
                      <w:color w:val="C45911" w:themeColor="accent2" w:themeShade="BF"/>
                      <w:sz w:val="18"/>
                      <w:szCs w:val="18"/>
                    </w:rPr>
                    <w:t>%</w:t>
                  </w:r>
                  <w:r>
                    <w:rPr>
                      <w:rFonts w:ascii="Century Gothic" w:hAnsi="Century Gothic"/>
                      <w:color w:val="C45911" w:themeColor="accent2" w:themeShade="BF"/>
                      <w:sz w:val="18"/>
                      <w:szCs w:val="18"/>
                    </w:rPr>
                    <w:t xml:space="preserve"> </w:t>
                  </w:r>
                  <w:r w:rsidRPr="00A26559">
                    <w:rPr>
                      <w:rFonts w:ascii="Century Gothic" w:hAnsi="Century Gothic"/>
                      <w:color w:val="C45911" w:themeColor="accent2" w:themeShade="BF"/>
                      <w:sz w:val="16"/>
                      <w:szCs w:val="16"/>
                    </w:rPr>
                    <w:t>(</w:t>
                  </w:r>
                  <w:r w:rsidR="00B14980">
                    <w:rPr>
                      <w:rFonts w:ascii="Century Gothic" w:hAnsi="Century Gothic"/>
                      <w:color w:val="C45911" w:themeColor="accent2" w:themeShade="BF"/>
                      <w:sz w:val="16"/>
                      <w:szCs w:val="16"/>
                    </w:rPr>
                    <w:t>9</w:t>
                  </w:r>
                  <w:r w:rsidRPr="00A26559">
                    <w:rPr>
                      <w:rFonts w:ascii="Century Gothic" w:hAnsi="Century Gothic"/>
                      <w:color w:val="C45911" w:themeColor="accent2" w:themeShade="BF"/>
                      <w:sz w:val="16"/>
                      <w:szCs w:val="16"/>
                    </w:rPr>
                    <w:t>/36)</w:t>
                  </w:r>
                </w:p>
              </w:tc>
            </w:tr>
            <w:tr w:rsidR="00A26559" w:rsidTr="00A26559">
              <w:trPr>
                <w:trHeight w:val="197"/>
              </w:trPr>
              <w:tc>
                <w:tcPr>
                  <w:tcW w:w="2607" w:type="dxa"/>
                </w:tcPr>
                <w:p w:rsidR="00A26559" w:rsidRPr="0064188C" w:rsidRDefault="00A26559" w:rsidP="00F27AF5">
                  <w:pPr>
                    <w:rPr>
                      <w:rFonts w:ascii="Century Gothic" w:hAnsi="Century Gothic"/>
                      <w:color w:val="00B050"/>
                      <w:sz w:val="18"/>
                      <w:szCs w:val="18"/>
                    </w:rPr>
                  </w:pPr>
                  <w:proofErr w:type="gramStart"/>
                  <w:r>
                    <w:rPr>
                      <w:rFonts w:ascii="Century Gothic" w:hAnsi="Century Gothic"/>
                      <w:color w:val="00B050"/>
                      <w:sz w:val="18"/>
                      <w:szCs w:val="18"/>
                    </w:rPr>
                    <w:t>Non PP</w:t>
                  </w:r>
                  <w:proofErr w:type="gramEnd"/>
                  <w:r>
                    <w:rPr>
                      <w:rFonts w:ascii="Century Gothic" w:hAnsi="Century Gothic"/>
                      <w:color w:val="00B050"/>
                      <w:sz w:val="18"/>
                      <w:szCs w:val="18"/>
                    </w:rPr>
                    <w:t xml:space="preserve"> PA</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25%</w:t>
                  </w:r>
                </w:p>
              </w:tc>
              <w:tc>
                <w:tcPr>
                  <w:tcW w:w="950" w:type="dxa"/>
                </w:tcPr>
                <w:p w:rsidR="00A26559" w:rsidRPr="00A26559" w:rsidRDefault="00A2655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17%</w:t>
                  </w:r>
                </w:p>
              </w:tc>
            </w:tr>
            <w:tr w:rsidR="00A26559" w:rsidTr="00A26559">
              <w:trPr>
                <w:trHeight w:val="197"/>
              </w:trPr>
              <w:tc>
                <w:tcPr>
                  <w:tcW w:w="2607"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 xml:space="preserve">PP attendance (35 </w:t>
                  </w:r>
                  <w:proofErr w:type="spellStart"/>
                  <w:r>
                    <w:rPr>
                      <w:rFonts w:ascii="Century Gothic" w:hAnsi="Century Gothic"/>
                      <w:color w:val="00B050"/>
                      <w:sz w:val="18"/>
                      <w:szCs w:val="18"/>
                    </w:rPr>
                    <w:t>chn</w:t>
                  </w:r>
                  <w:proofErr w:type="spellEnd"/>
                  <w:r>
                    <w:rPr>
                      <w:rFonts w:ascii="Century Gothic" w:hAnsi="Century Gothic"/>
                      <w:color w:val="00B050"/>
                      <w:sz w:val="18"/>
                      <w:szCs w:val="18"/>
                    </w:rPr>
                    <w:t>)</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92%</w:t>
                  </w:r>
                </w:p>
              </w:tc>
              <w:tc>
                <w:tcPr>
                  <w:tcW w:w="950" w:type="dxa"/>
                </w:tcPr>
                <w:p w:rsidR="00A26559" w:rsidRPr="00A26559" w:rsidRDefault="00A2655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w:t>
                  </w:r>
                </w:p>
              </w:tc>
            </w:tr>
            <w:tr w:rsidR="00A26559" w:rsidTr="00A26559">
              <w:trPr>
                <w:trHeight w:val="197"/>
              </w:trPr>
              <w:tc>
                <w:tcPr>
                  <w:tcW w:w="2607"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 xml:space="preserve">SEND attendance (31 </w:t>
                  </w:r>
                  <w:proofErr w:type="spellStart"/>
                  <w:r>
                    <w:rPr>
                      <w:rFonts w:ascii="Century Gothic" w:hAnsi="Century Gothic"/>
                      <w:color w:val="00B050"/>
                      <w:sz w:val="18"/>
                      <w:szCs w:val="18"/>
                    </w:rPr>
                    <w:t>chn</w:t>
                  </w:r>
                  <w:proofErr w:type="spellEnd"/>
                  <w:r>
                    <w:rPr>
                      <w:rFonts w:ascii="Century Gothic" w:hAnsi="Century Gothic"/>
                      <w:color w:val="00B050"/>
                      <w:sz w:val="18"/>
                      <w:szCs w:val="18"/>
                    </w:rPr>
                    <w:t>)</w:t>
                  </w:r>
                </w:p>
              </w:tc>
              <w:tc>
                <w:tcPr>
                  <w:tcW w:w="950" w:type="dxa"/>
                </w:tcPr>
                <w:p w:rsidR="00A26559" w:rsidRPr="0064188C" w:rsidRDefault="00A26559" w:rsidP="00F27AF5">
                  <w:pPr>
                    <w:rPr>
                      <w:rFonts w:ascii="Century Gothic" w:hAnsi="Century Gothic"/>
                      <w:color w:val="00B050"/>
                      <w:sz w:val="18"/>
                      <w:szCs w:val="18"/>
                    </w:rPr>
                  </w:pPr>
                  <w:r>
                    <w:rPr>
                      <w:rFonts w:ascii="Century Gothic" w:hAnsi="Century Gothic"/>
                      <w:color w:val="00B050"/>
                      <w:sz w:val="18"/>
                      <w:szCs w:val="18"/>
                    </w:rPr>
                    <w:t>92%</w:t>
                  </w:r>
                </w:p>
              </w:tc>
              <w:tc>
                <w:tcPr>
                  <w:tcW w:w="950" w:type="dxa"/>
                </w:tcPr>
                <w:p w:rsidR="00A26559" w:rsidRPr="00A26559" w:rsidRDefault="00A2655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w:t>
                  </w:r>
                </w:p>
              </w:tc>
            </w:tr>
          </w:tbl>
          <w:p w:rsidR="0064188C" w:rsidRPr="0064188C" w:rsidRDefault="0064188C" w:rsidP="00F27AF5">
            <w:pPr>
              <w:rPr>
                <w:rFonts w:ascii="Century Gothic" w:hAnsi="Century Gothic"/>
                <w:color w:val="00B050"/>
                <w:sz w:val="18"/>
                <w:szCs w:val="18"/>
              </w:rPr>
            </w:pPr>
          </w:p>
        </w:tc>
      </w:tr>
      <w:tr w:rsidR="00482539" w:rsidTr="002C3B2A">
        <w:trPr>
          <w:trHeight w:val="243"/>
        </w:trPr>
        <w:tc>
          <w:tcPr>
            <w:tcW w:w="4172" w:type="dxa"/>
          </w:tcPr>
          <w:p w:rsidR="00207616" w:rsidRPr="0064188C" w:rsidRDefault="006D250C" w:rsidP="000B500E">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Use of limited </w:t>
            </w:r>
            <w:proofErr w:type="gramStart"/>
            <w:r w:rsidRPr="0064188C">
              <w:rPr>
                <w:rFonts w:ascii="Century Gothic" w:hAnsi="Century Gothic"/>
                <w:sz w:val="18"/>
                <w:szCs w:val="18"/>
              </w:rPr>
              <w:t>research based</w:t>
            </w:r>
            <w:proofErr w:type="gramEnd"/>
            <w:r w:rsidRPr="0064188C">
              <w:rPr>
                <w:rFonts w:ascii="Century Gothic" w:hAnsi="Century Gothic"/>
                <w:sz w:val="18"/>
                <w:szCs w:val="18"/>
              </w:rPr>
              <w:t xml:space="preserve"> interventions/provisions - SO used as reading and writing intervention </w:t>
            </w:r>
          </w:p>
        </w:tc>
        <w:tc>
          <w:tcPr>
            <w:tcW w:w="6738" w:type="dxa"/>
          </w:tcPr>
          <w:p w:rsidR="006D250C"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Summer provisions for PP had an average of +0.08 impact. Indicating they were having a more positive impact than expected, this is higher than previous years.</w:t>
            </w:r>
          </w:p>
          <w:p w:rsidR="006D250C"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Continuation of SO with more members of staff</w:t>
            </w:r>
          </w:p>
          <w:p w:rsidR="006D250C" w:rsidRPr="0064188C" w:rsidRDefault="006D250C" w:rsidP="00207616">
            <w:pPr>
              <w:pStyle w:val="ListParagraph"/>
              <w:numPr>
                <w:ilvl w:val="0"/>
                <w:numId w:val="1"/>
              </w:numPr>
              <w:rPr>
                <w:rFonts w:ascii="Century Gothic" w:hAnsi="Century Gothic"/>
                <w:sz w:val="18"/>
                <w:szCs w:val="18"/>
              </w:rPr>
            </w:pPr>
            <w:r w:rsidRPr="0064188C">
              <w:rPr>
                <w:rFonts w:ascii="Century Gothic" w:hAnsi="Century Gothic"/>
                <w:color w:val="000000" w:themeColor="text1"/>
                <w:sz w:val="18"/>
                <w:szCs w:val="18"/>
              </w:rPr>
              <w:t>2 LSAs undertook Talk for All course - Lift off to Language</w:t>
            </w:r>
          </w:p>
          <w:p w:rsidR="00207616"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Introduction of Third Space maths and Doodle Maths (year 1)</w:t>
            </w:r>
          </w:p>
        </w:tc>
        <w:tc>
          <w:tcPr>
            <w:tcW w:w="4718" w:type="dxa"/>
          </w:tcPr>
          <w:p w:rsidR="00F27AF5" w:rsidRPr="0064188C" w:rsidRDefault="00F27AF5" w:rsidP="00091115">
            <w:pPr>
              <w:pStyle w:val="ListParagraph"/>
              <w:numPr>
                <w:ilvl w:val="0"/>
                <w:numId w:val="1"/>
              </w:numPr>
              <w:rPr>
                <w:rFonts w:ascii="Century Gothic" w:hAnsi="Century Gothic"/>
                <w:sz w:val="18"/>
                <w:szCs w:val="18"/>
              </w:rPr>
            </w:pPr>
            <w:r w:rsidRPr="0064188C">
              <w:rPr>
                <w:rFonts w:ascii="Century Gothic" w:hAnsi="Century Gothic"/>
                <w:sz w:val="18"/>
                <w:szCs w:val="18"/>
              </w:rPr>
              <w:t>Completing of RLS provision document</w:t>
            </w:r>
          </w:p>
          <w:p w:rsidR="00207616" w:rsidRPr="0064188C" w:rsidRDefault="006D250C" w:rsidP="00091115">
            <w:pPr>
              <w:pStyle w:val="ListParagraph"/>
              <w:numPr>
                <w:ilvl w:val="0"/>
                <w:numId w:val="1"/>
              </w:numPr>
              <w:rPr>
                <w:rFonts w:ascii="Century Gothic" w:hAnsi="Century Gothic"/>
                <w:sz w:val="18"/>
                <w:szCs w:val="18"/>
              </w:rPr>
            </w:pPr>
            <w:r w:rsidRPr="0064188C">
              <w:rPr>
                <w:rFonts w:ascii="Century Gothic" w:hAnsi="Century Gothic"/>
                <w:sz w:val="18"/>
                <w:szCs w:val="18"/>
              </w:rPr>
              <w:t>EYFS NELI training</w:t>
            </w:r>
          </w:p>
          <w:p w:rsidR="006D250C" w:rsidRPr="0064188C" w:rsidRDefault="00F27AF5" w:rsidP="004B3AF4">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Continued use of NTP support: </w:t>
            </w:r>
            <w:r w:rsidR="006D250C" w:rsidRPr="0064188C">
              <w:rPr>
                <w:rFonts w:ascii="Century Gothic" w:hAnsi="Century Gothic"/>
                <w:sz w:val="18"/>
                <w:szCs w:val="18"/>
              </w:rPr>
              <w:t>KS2 Reading fluency training</w:t>
            </w:r>
            <w:r w:rsidRPr="0064188C">
              <w:rPr>
                <w:rFonts w:ascii="Century Gothic" w:hAnsi="Century Gothic"/>
                <w:sz w:val="18"/>
                <w:szCs w:val="18"/>
              </w:rPr>
              <w:t>, Third Space Maths</w:t>
            </w:r>
          </w:p>
          <w:p w:rsidR="00F27AF5" w:rsidRDefault="00091115" w:rsidP="00F27AF5">
            <w:pPr>
              <w:pStyle w:val="ListParagraph"/>
              <w:numPr>
                <w:ilvl w:val="0"/>
                <w:numId w:val="1"/>
              </w:numPr>
              <w:rPr>
                <w:rFonts w:ascii="Century Gothic" w:hAnsi="Century Gothic"/>
                <w:sz w:val="18"/>
                <w:szCs w:val="18"/>
              </w:rPr>
            </w:pPr>
            <w:r w:rsidRPr="0064188C">
              <w:rPr>
                <w:rFonts w:ascii="Century Gothic" w:hAnsi="Century Gothic"/>
                <w:sz w:val="18"/>
                <w:szCs w:val="18"/>
              </w:rPr>
              <w:t>Doodle Maths to be used across KS1</w:t>
            </w:r>
          </w:p>
          <w:p w:rsidR="0064188C" w:rsidRDefault="0064188C" w:rsidP="0064188C">
            <w:pPr>
              <w:rPr>
                <w:rFonts w:ascii="Century Gothic" w:hAnsi="Century Gothic"/>
                <w:color w:val="00B050"/>
                <w:sz w:val="18"/>
                <w:szCs w:val="18"/>
              </w:rPr>
            </w:pPr>
            <w:r>
              <w:rPr>
                <w:rFonts w:ascii="Century Gothic" w:hAnsi="Century Gothic"/>
                <w:color w:val="00B050"/>
                <w:sz w:val="18"/>
                <w:szCs w:val="18"/>
              </w:rPr>
              <w:t>Autumn term interventions had an average impact of 0.16%, indicating an improvement on the summer term (21) even though this was already the highest impact we had previously</w:t>
            </w:r>
          </w:p>
          <w:p w:rsidR="00010B92" w:rsidRDefault="00010B92" w:rsidP="0064188C">
            <w:pPr>
              <w:rPr>
                <w:rFonts w:ascii="Century Gothic" w:hAnsi="Century Gothic"/>
                <w:color w:val="00B050"/>
                <w:sz w:val="18"/>
                <w:szCs w:val="18"/>
              </w:rPr>
            </w:pPr>
            <w:r>
              <w:rPr>
                <w:rFonts w:ascii="Century Gothic" w:hAnsi="Century Gothic"/>
                <w:color w:val="00B050"/>
                <w:sz w:val="18"/>
                <w:szCs w:val="18"/>
              </w:rPr>
              <w:t>Most impactful interventions: Y3 Phonics - +0.86, PP reading Y1 - +0.67, Switch on reading + 0.54</w:t>
            </w:r>
          </w:p>
          <w:p w:rsidR="00C842A2" w:rsidRDefault="00C842A2"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Spring interventions had an impact of 0.07 overall, indicating a continued positive overall impact.</w:t>
            </w:r>
          </w:p>
          <w:p w:rsidR="00C842A2" w:rsidRPr="00C842A2" w:rsidRDefault="00C842A2"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lastRenderedPageBreak/>
              <w:t xml:space="preserve">The most successful interventions were: Y1 phonics (0.86), Y3 phonics (0.73) and Y3 reading army (0.54).  Only 12% of provisions were ineffective, with 88% being effective.  388 children benefitted from some additional support in some form.  The least effective provisions were Y2 daily phonics and FS </w:t>
            </w:r>
            <w:proofErr w:type="spellStart"/>
            <w:r>
              <w:rPr>
                <w:rFonts w:ascii="Century Gothic" w:hAnsi="Century Gothic"/>
                <w:color w:val="C45911" w:themeColor="accent2" w:themeShade="BF"/>
                <w:sz w:val="18"/>
                <w:szCs w:val="18"/>
              </w:rPr>
              <w:t>vc</w:t>
            </w:r>
            <w:proofErr w:type="spellEnd"/>
            <w:r>
              <w:rPr>
                <w:rFonts w:ascii="Century Gothic" w:hAnsi="Century Gothic"/>
                <w:color w:val="C45911" w:themeColor="accent2" w:themeShade="BF"/>
                <w:sz w:val="18"/>
                <w:szCs w:val="18"/>
              </w:rPr>
              <w:t xml:space="preserve"> and </w:t>
            </w:r>
            <w:proofErr w:type="spellStart"/>
            <w:r>
              <w:rPr>
                <w:rFonts w:ascii="Century Gothic" w:hAnsi="Century Gothic"/>
                <w:color w:val="C45911" w:themeColor="accent2" w:themeShade="BF"/>
                <w:sz w:val="18"/>
                <w:szCs w:val="18"/>
              </w:rPr>
              <w:t>cvc</w:t>
            </w:r>
            <w:proofErr w:type="spellEnd"/>
            <w:r>
              <w:rPr>
                <w:rFonts w:ascii="Century Gothic" w:hAnsi="Century Gothic"/>
                <w:color w:val="C45911" w:themeColor="accent2" w:themeShade="BF"/>
                <w:sz w:val="18"/>
                <w:szCs w:val="18"/>
              </w:rPr>
              <w:t xml:space="preserve"> writing (staffing issues/</w:t>
            </w:r>
            <w:proofErr w:type="spellStart"/>
            <w:r>
              <w:rPr>
                <w:rFonts w:ascii="Century Gothic" w:hAnsi="Century Gothic"/>
                <w:color w:val="C45911" w:themeColor="accent2" w:themeShade="BF"/>
                <w:sz w:val="18"/>
                <w:szCs w:val="18"/>
              </w:rPr>
              <w:t>covid</w:t>
            </w:r>
            <w:proofErr w:type="spellEnd"/>
            <w:r>
              <w:rPr>
                <w:rFonts w:ascii="Century Gothic" w:hAnsi="Century Gothic"/>
                <w:color w:val="C45911" w:themeColor="accent2" w:themeShade="BF"/>
                <w:sz w:val="18"/>
                <w:szCs w:val="18"/>
              </w:rPr>
              <w:t>)  Third space support 23 children (12 pp, 3 send) 64% of children met their objectives</w:t>
            </w:r>
          </w:p>
        </w:tc>
      </w:tr>
    </w:tbl>
    <w:p w:rsidR="00751042" w:rsidRDefault="00751042"/>
    <w:p w:rsidR="00A26559" w:rsidRDefault="00A26559">
      <w:pPr>
        <w:rPr>
          <w:color w:val="C45911" w:themeColor="accent2" w:themeShade="BF"/>
        </w:rPr>
      </w:pPr>
      <w:r>
        <w:rPr>
          <w:color w:val="C45911" w:themeColor="accent2" w:themeShade="BF"/>
        </w:rPr>
        <w:t>Key successes:</w:t>
      </w:r>
    </w:p>
    <w:p w:rsidR="00A26559" w:rsidRDefault="00A26559" w:rsidP="00A26559">
      <w:pPr>
        <w:pStyle w:val="ListParagraph"/>
        <w:numPr>
          <w:ilvl w:val="0"/>
          <w:numId w:val="12"/>
        </w:numPr>
        <w:rPr>
          <w:color w:val="C45911" w:themeColor="accent2" w:themeShade="BF"/>
        </w:rPr>
      </w:pPr>
      <w:r>
        <w:rPr>
          <w:color w:val="C45911" w:themeColor="accent2" w:themeShade="BF"/>
        </w:rPr>
        <w:t>Increasing levels of ARE+ in PP children compared to July 21, but also compared to pre-pandemic (2019) in reading and maths</w:t>
      </w:r>
    </w:p>
    <w:p w:rsidR="00632BCD" w:rsidRDefault="00632BCD" w:rsidP="00A26559">
      <w:pPr>
        <w:pStyle w:val="ListParagraph"/>
        <w:numPr>
          <w:ilvl w:val="0"/>
          <w:numId w:val="12"/>
        </w:numPr>
        <w:rPr>
          <w:color w:val="C45911" w:themeColor="accent2" w:themeShade="BF"/>
        </w:rPr>
      </w:pPr>
      <w:r>
        <w:rPr>
          <w:color w:val="C45911" w:themeColor="accent2" w:themeShade="BF"/>
        </w:rPr>
        <w:t>Gaps are narrowing in reading quickly (Reading army and Switch on), and narrowing gradually in maths (Doodle maths, Third Space, TTRS)</w:t>
      </w:r>
    </w:p>
    <w:p w:rsidR="00632BCD" w:rsidRDefault="00632BCD" w:rsidP="00A26559">
      <w:pPr>
        <w:pStyle w:val="ListParagraph"/>
        <w:numPr>
          <w:ilvl w:val="0"/>
          <w:numId w:val="12"/>
        </w:numPr>
        <w:rPr>
          <w:color w:val="C45911" w:themeColor="accent2" w:themeShade="BF"/>
        </w:rPr>
      </w:pPr>
      <w:r>
        <w:rPr>
          <w:color w:val="C45911" w:themeColor="accent2" w:themeShade="BF"/>
        </w:rPr>
        <w:t>Overall attendance for PP children is in line with all children (93% PP compared to 93.5% all)</w:t>
      </w:r>
    </w:p>
    <w:p w:rsidR="00632BCD" w:rsidRDefault="00632BCD" w:rsidP="00632BCD">
      <w:pPr>
        <w:rPr>
          <w:color w:val="C45911" w:themeColor="accent2" w:themeShade="BF"/>
        </w:rPr>
      </w:pPr>
      <w:r>
        <w:rPr>
          <w:color w:val="C45911" w:themeColor="accent2" w:themeShade="BF"/>
        </w:rPr>
        <w:t>Key areas to develop and foci for 2022/23:</w:t>
      </w:r>
    </w:p>
    <w:p w:rsidR="00632BCD" w:rsidRDefault="00017D7A" w:rsidP="00632BCD">
      <w:pPr>
        <w:pStyle w:val="ListParagraph"/>
        <w:numPr>
          <w:ilvl w:val="0"/>
          <w:numId w:val="13"/>
        </w:numPr>
        <w:rPr>
          <w:color w:val="C45911" w:themeColor="accent2" w:themeShade="BF"/>
        </w:rPr>
      </w:pPr>
      <w:r>
        <w:rPr>
          <w:color w:val="C45911" w:themeColor="accent2" w:themeShade="BF"/>
        </w:rPr>
        <w:t>Writing across the school – but especially for PP children who have slipped behind where they were as a group in 2019 (-10% attainment at ARE+) and -24% non-PP attainment gap 2022 (albeit, they are different children)</w:t>
      </w:r>
    </w:p>
    <w:p w:rsidR="00017D7A" w:rsidRPr="00632BCD" w:rsidRDefault="00017D7A" w:rsidP="00632BCD">
      <w:pPr>
        <w:pStyle w:val="ListParagraph"/>
        <w:numPr>
          <w:ilvl w:val="0"/>
          <w:numId w:val="13"/>
        </w:numPr>
        <w:rPr>
          <w:color w:val="C45911" w:themeColor="accent2" w:themeShade="BF"/>
        </w:rPr>
      </w:pPr>
      <w:r>
        <w:rPr>
          <w:color w:val="C45911" w:themeColor="accent2" w:themeShade="BF"/>
        </w:rPr>
        <w:t>PP Persistent absence is worse than the rest of the school.  17% for all and 28% (10/36) for PP.  This WILL be affecting attainment, but even fines are not working</w:t>
      </w:r>
    </w:p>
    <w:sectPr w:rsidR="00017D7A" w:rsidRPr="00632BCD" w:rsidSect="000911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8FF"/>
    <w:multiLevelType w:val="hybridMultilevel"/>
    <w:tmpl w:val="97622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65A9"/>
    <w:multiLevelType w:val="hybridMultilevel"/>
    <w:tmpl w:val="94D4F3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89173F"/>
    <w:multiLevelType w:val="hybridMultilevel"/>
    <w:tmpl w:val="EB9E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44426"/>
    <w:multiLevelType w:val="hybridMultilevel"/>
    <w:tmpl w:val="731C7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E7579"/>
    <w:multiLevelType w:val="hybridMultilevel"/>
    <w:tmpl w:val="CAEA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902AE"/>
    <w:multiLevelType w:val="hybridMultilevel"/>
    <w:tmpl w:val="E5F4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11262"/>
    <w:multiLevelType w:val="hybridMultilevel"/>
    <w:tmpl w:val="F7900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2304F"/>
    <w:multiLevelType w:val="multilevel"/>
    <w:tmpl w:val="2330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6C78D9"/>
    <w:multiLevelType w:val="hybridMultilevel"/>
    <w:tmpl w:val="F274E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C43014"/>
    <w:multiLevelType w:val="hybridMultilevel"/>
    <w:tmpl w:val="6B7290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86504F"/>
    <w:multiLevelType w:val="hybridMultilevel"/>
    <w:tmpl w:val="7AB270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2E4DBF"/>
    <w:multiLevelType w:val="hybridMultilevel"/>
    <w:tmpl w:val="F818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1A21CF"/>
    <w:multiLevelType w:val="hybridMultilevel"/>
    <w:tmpl w:val="6CE0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1"/>
  </w:num>
  <w:num w:numId="5">
    <w:abstractNumId w:val="9"/>
  </w:num>
  <w:num w:numId="6">
    <w:abstractNumId w:val="3"/>
  </w:num>
  <w:num w:numId="7">
    <w:abstractNumId w:val="6"/>
  </w:num>
  <w:num w:numId="8">
    <w:abstractNumId w:val="10"/>
  </w:num>
  <w:num w:numId="9">
    <w:abstractNumId w:val="12"/>
  </w:num>
  <w:num w:numId="10">
    <w:abstractNumId w:val="7"/>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39"/>
    <w:rsid w:val="00010B92"/>
    <w:rsid w:val="00017D7A"/>
    <w:rsid w:val="00064212"/>
    <w:rsid w:val="00075E6D"/>
    <w:rsid w:val="00091115"/>
    <w:rsid w:val="000B500E"/>
    <w:rsid w:val="000D3376"/>
    <w:rsid w:val="00207616"/>
    <w:rsid w:val="002420BB"/>
    <w:rsid w:val="002A03C6"/>
    <w:rsid w:val="002C3B2A"/>
    <w:rsid w:val="003A7DB0"/>
    <w:rsid w:val="003E52CB"/>
    <w:rsid w:val="004401A7"/>
    <w:rsid w:val="00482539"/>
    <w:rsid w:val="00526DB6"/>
    <w:rsid w:val="005303F8"/>
    <w:rsid w:val="005705DD"/>
    <w:rsid w:val="005D44CA"/>
    <w:rsid w:val="00632BCD"/>
    <w:rsid w:val="0064188C"/>
    <w:rsid w:val="006C4C9D"/>
    <w:rsid w:val="006D250C"/>
    <w:rsid w:val="007453DD"/>
    <w:rsid w:val="00751042"/>
    <w:rsid w:val="00772ED6"/>
    <w:rsid w:val="008B5E5E"/>
    <w:rsid w:val="008E267B"/>
    <w:rsid w:val="009466B6"/>
    <w:rsid w:val="00975A53"/>
    <w:rsid w:val="009847E2"/>
    <w:rsid w:val="009A48C7"/>
    <w:rsid w:val="009B25AF"/>
    <w:rsid w:val="009D550B"/>
    <w:rsid w:val="009F34DD"/>
    <w:rsid w:val="00A26559"/>
    <w:rsid w:val="00A32FD4"/>
    <w:rsid w:val="00AF2D70"/>
    <w:rsid w:val="00B14980"/>
    <w:rsid w:val="00C842A2"/>
    <w:rsid w:val="00C9286E"/>
    <w:rsid w:val="00CB2E2F"/>
    <w:rsid w:val="00D168E0"/>
    <w:rsid w:val="00DE79AA"/>
    <w:rsid w:val="00E94AD5"/>
    <w:rsid w:val="00E97F17"/>
    <w:rsid w:val="00F27AF5"/>
    <w:rsid w:val="00FC6EFF"/>
    <w:rsid w:val="00FE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6F9"/>
  <w15:chartTrackingRefBased/>
  <w15:docId w15:val="{CA8E658F-4CD8-47D0-B4F7-2403D0FC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539"/>
    <w:pPr>
      <w:ind w:left="720"/>
      <w:contextualSpacing/>
    </w:pPr>
  </w:style>
  <w:style w:type="paragraph" w:styleId="NoSpacing">
    <w:name w:val="No Spacing"/>
    <w:uiPriority w:val="1"/>
    <w:qFormat/>
    <w:rsid w:val="00FC6EFF"/>
    <w:pPr>
      <w:suppressAutoHyphens/>
      <w:autoSpaceDN w:val="0"/>
      <w:spacing w:after="0" w:line="240" w:lineRule="auto"/>
    </w:pPr>
    <w:rPr>
      <w:rFonts w:ascii="Arial" w:eastAsia="Times New Roman" w:hAnsi="Arial" w:cs="Times New Roman"/>
      <w:color w:val="0D0D0D"/>
      <w:sz w:val="24"/>
      <w:szCs w:val="24"/>
      <w:lang w:eastAsia="en-GB"/>
    </w:rPr>
  </w:style>
  <w:style w:type="paragraph" w:styleId="BalloonText">
    <w:name w:val="Balloon Text"/>
    <w:basedOn w:val="Normal"/>
    <w:link w:val="BalloonTextChar"/>
    <w:uiPriority w:val="99"/>
    <w:semiHidden/>
    <w:unhideWhenUsed/>
    <w:rsid w:val="006C4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7A36-E1E7-4F47-8DC6-407D88BD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5</cp:revision>
  <cp:lastPrinted>2022-02-10T14:08:00Z</cp:lastPrinted>
  <dcterms:created xsi:type="dcterms:W3CDTF">2022-06-20T16:52:00Z</dcterms:created>
  <dcterms:modified xsi:type="dcterms:W3CDTF">2022-07-06T14:40:00Z</dcterms:modified>
</cp:coreProperties>
</file>