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13E" w:rsidRPr="003E43DB" w:rsidRDefault="009C413E" w:rsidP="009C413E">
      <w:pPr>
        <w:jc w:val="center"/>
        <w:rPr>
          <w:b/>
          <w:u w:val="single"/>
        </w:rPr>
      </w:pPr>
      <w:r w:rsidRPr="003E43DB">
        <w:rPr>
          <w:b/>
          <w:u w:val="single"/>
        </w:rPr>
        <w:t>PP grant spend</w:t>
      </w:r>
      <w:bookmarkStart w:id="0" w:name="_GoBack"/>
      <w:bookmarkEnd w:id="0"/>
    </w:p>
    <w:p w:rsidR="009C413E" w:rsidRPr="003E43DB" w:rsidRDefault="009C413E" w:rsidP="009C413E">
      <w:r w:rsidRPr="003E43DB">
        <w:t>The PP grant allocation</w:t>
      </w:r>
      <w:r>
        <w:t xml:space="preserve"> (37 children)</w:t>
      </w:r>
      <w:r w:rsidRPr="003E43DB">
        <w:t xml:space="preserve"> for </w:t>
      </w:r>
      <w:r w:rsidRPr="003E43DB">
        <w:rPr>
          <w:b/>
        </w:rPr>
        <w:t>17/18</w:t>
      </w:r>
      <w:r>
        <w:rPr>
          <w:b/>
        </w:rPr>
        <w:t xml:space="preserve"> (April 17 to April 18)</w:t>
      </w:r>
      <w:r>
        <w:t xml:space="preserve"> was £33,003</w:t>
      </w:r>
      <w:r w:rsidRPr="003E43DB">
        <w:t>. A summary of how we spent this money and the impact is below:</w:t>
      </w:r>
    </w:p>
    <w:tbl>
      <w:tblPr>
        <w:tblStyle w:val="TableGrid"/>
        <w:tblW w:w="0" w:type="auto"/>
        <w:tblLook w:val="04A0" w:firstRow="1" w:lastRow="0" w:firstColumn="1" w:lastColumn="0" w:noHBand="0" w:noVBand="1"/>
      </w:tblPr>
      <w:tblGrid>
        <w:gridCol w:w="3439"/>
        <w:gridCol w:w="3439"/>
        <w:gridCol w:w="3439"/>
        <w:gridCol w:w="3441"/>
      </w:tblGrid>
      <w:tr w:rsidR="009C413E" w:rsidTr="0032764D">
        <w:trPr>
          <w:trHeight w:val="265"/>
        </w:trPr>
        <w:tc>
          <w:tcPr>
            <w:tcW w:w="3439" w:type="dxa"/>
          </w:tcPr>
          <w:p w:rsidR="009C413E" w:rsidRDefault="009C413E" w:rsidP="0032764D">
            <w:pPr>
              <w:jc w:val="center"/>
            </w:pPr>
            <w:r>
              <w:t>Area</w:t>
            </w:r>
          </w:p>
        </w:tc>
        <w:tc>
          <w:tcPr>
            <w:tcW w:w="3439" w:type="dxa"/>
          </w:tcPr>
          <w:p w:rsidR="009C413E" w:rsidRDefault="009C413E" w:rsidP="0032764D">
            <w:pPr>
              <w:jc w:val="center"/>
            </w:pPr>
            <w:r>
              <w:t>Allocation</w:t>
            </w:r>
          </w:p>
        </w:tc>
        <w:tc>
          <w:tcPr>
            <w:tcW w:w="3439" w:type="dxa"/>
          </w:tcPr>
          <w:p w:rsidR="009C413E" w:rsidRDefault="009C413E" w:rsidP="0032764D">
            <w:pPr>
              <w:jc w:val="center"/>
            </w:pPr>
            <w:r>
              <w:t>Actual spend</w:t>
            </w:r>
          </w:p>
        </w:tc>
        <w:tc>
          <w:tcPr>
            <w:tcW w:w="3441" w:type="dxa"/>
          </w:tcPr>
          <w:p w:rsidR="009C413E" w:rsidRDefault="009C413E" w:rsidP="0032764D">
            <w:pPr>
              <w:jc w:val="center"/>
            </w:pPr>
            <w:r>
              <w:t xml:space="preserve">Impact – </w:t>
            </w:r>
            <w:r w:rsidRPr="00BB7C8C">
              <w:rPr>
                <w:sz w:val="18"/>
                <w:szCs w:val="18"/>
              </w:rPr>
              <w:t>measured at the end of each academic year</w:t>
            </w:r>
            <w:r>
              <w:rPr>
                <w:sz w:val="18"/>
                <w:szCs w:val="18"/>
              </w:rPr>
              <w:t xml:space="preserve"> July 18</w:t>
            </w:r>
          </w:p>
        </w:tc>
      </w:tr>
      <w:tr w:rsidR="009C413E" w:rsidTr="0032764D">
        <w:trPr>
          <w:trHeight w:val="783"/>
        </w:trPr>
        <w:tc>
          <w:tcPr>
            <w:tcW w:w="3439" w:type="dxa"/>
          </w:tcPr>
          <w:p w:rsidR="009C413E" w:rsidRDefault="009C413E" w:rsidP="0032764D">
            <w:pPr>
              <w:jc w:val="center"/>
            </w:pPr>
            <w:r>
              <w:t>Pastoral support</w:t>
            </w:r>
          </w:p>
          <w:p w:rsidR="009C413E" w:rsidRDefault="009C413E" w:rsidP="0032764D">
            <w:pPr>
              <w:jc w:val="center"/>
            </w:pPr>
          </w:p>
        </w:tc>
        <w:tc>
          <w:tcPr>
            <w:tcW w:w="3439" w:type="dxa"/>
          </w:tcPr>
          <w:p w:rsidR="009C413E" w:rsidRDefault="009C413E" w:rsidP="0032764D">
            <w:pPr>
              <w:jc w:val="center"/>
            </w:pPr>
            <w:r>
              <w:t>£2000</w:t>
            </w:r>
          </w:p>
        </w:tc>
        <w:tc>
          <w:tcPr>
            <w:tcW w:w="3439" w:type="dxa"/>
          </w:tcPr>
          <w:p w:rsidR="009C413E" w:rsidRDefault="009C413E" w:rsidP="0032764D">
            <w:pPr>
              <w:jc w:val="center"/>
            </w:pPr>
            <w:r>
              <w:t>£1965</w:t>
            </w:r>
          </w:p>
        </w:tc>
        <w:tc>
          <w:tcPr>
            <w:tcW w:w="3441" w:type="dxa"/>
          </w:tcPr>
          <w:p w:rsidR="009C413E" w:rsidRPr="00BB7C8C" w:rsidRDefault="009C413E" w:rsidP="0032764D">
            <w:pPr>
              <w:rPr>
                <w:rFonts w:eastAsia="Times New Roman" w:cs="Times New Roman"/>
                <w:color w:val="000000" w:themeColor="text1"/>
                <w:sz w:val="18"/>
                <w:szCs w:val="18"/>
                <w:lang w:eastAsia="en-GB"/>
              </w:rPr>
            </w:pPr>
            <w:r w:rsidRPr="00BB7C8C">
              <w:rPr>
                <w:rFonts w:eastAsia="Times New Roman" w:cs="Times New Roman"/>
                <w:color w:val="000000" w:themeColor="text1"/>
                <w:sz w:val="18"/>
                <w:szCs w:val="18"/>
                <w:lang w:eastAsia="en-GB"/>
              </w:rPr>
              <w:t>The pastoral support worker left in Feb and one of our LSAs agreed to take over the role temporarily. PP children have continued to receive hummingbird provision with focuses outcome orientated group sessions.</w:t>
            </w:r>
          </w:p>
          <w:p w:rsidR="009C413E" w:rsidRDefault="009C413E" w:rsidP="0032764D">
            <w:r w:rsidRPr="00BB7C8C">
              <w:rPr>
                <w:rFonts w:eastAsia="Times New Roman" w:cs="Times New Roman"/>
                <w:color w:val="000000" w:themeColor="text1"/>
                <w:sz w:val="18"/>
                <w:szCs w:val="18"/>
                <w:lang w:eastAsia="en-GB"/>
              </w:rPr>
              <w:t>This continued into the summer term with LSA supported by other staff members. This LSA has agreed to increase her hours to further support next year.</w:t>
            </w:r>
          </w:p>
        </w:tc>
      </w:tr>
      <w:tr w:rsidR="009C413E" w:rsidTr="0032764D">
        <w:trPr>
          <w:trHeight w:val="783"/>
        </w:trPr>
        <w:tc>
          <w:tcPr>
            <w:tcW w:w="3439" w:type="dxa"/>
          </w:tcPr>
          <w:p w:rsidR="009C413E" w:rsidRDefault="009C413E" w:rsidP="0032764D">
            <w:pPr>
              <w:jc w:val="center"/>
            </w:pPr>
            <w:r>
              <w:t>Intervention leads</w:t>
            </w:r>
          </w:p>
        </w:tc>
        <w:tc>
          <w:tcPr>
            <w:tcW w:w="3439" w:type="dxa"/>
          </w:tcPr>
          <w:p w:rsidR="009C413E" w:rsidRDefault="009C413E" w:rsidP="0032764D">
            <w:pPr>
              <w:jc w:val="center"/>
            </w:pPr>
            <w:r>
              <w:t>£15,000</w:t>
            </w:r>
          </w:p>
        </w:tc>
        <w:tc>
          <w:tcPr>
            <w:tcW w:w="3439" w:type="dxa"/>
          </w:tcPr>
          <w:p w:rsidR="009C413E" w:rsidRDefault="009C413E" w:rsidP="0032764D">
            <w:pPr>
              <w:jc w:val="center"/>
            </w:pPr>
            <w:r>
              <w:t>£15,196</w:t>
            </w:r>
          </w:p>
        </w:tc>
        <w:tc>
          <w:tcPr>
            <w:tcW w:w="3441" w:type="dxa"/>
          </w:tcPr>
          <w:p w:rsidR="009C413E" w:rsidRDefault="009C413E" w:rsidP="0032764D">
            <w:pPr>
              <w:rPr>
                <w:rFonts w:eastAsia="Times New Roman" w:cs="Arial"/>
                <w:color w:val="000000" w:themeColor="text1"/>
                <w:sz w:val="18"/>
                <w:szCs w:val="18"/>
                <w:lang w:eastAsia="en-GB"/>
              </w:rPr>
            </w:pPr>
            <w:r w:rsidRPr="00FF6148">
              <w:rPr>
                <w:rFonts w:eastAsia="Times New Roman" w:cs="Arial"/>
                <w:color w:val="000000" w:themeColor="text1"/>
                <w:sz w:val="18"/>
                <w:szCs w:val="18"/>
                <w:lang w:eastAsia="en-GB"/>
              </w:rPr>
              <w:t>Provisions now being used by new members of staff. Switch-On reading has had significant impact.</w:t>
            </w:r>
          </w:p>
          <w:p w:rsidR="009C413E" w:rsidRDefault="009C413E" w:rsidP="0032764D">
            <w:r>
              <w:rPr>
                <w:rFonts w:eastAsia="Times New Roman" w:cs="Arial"/>
                <w:color w:val="000000" w:themeColor="text1"/>
                <w:sz w:val="18"/>
                <w:szCs w:val="18"/>
                <w:lang w:eastAsia="en-GB"/>
              </w:rPr>
              <w:t>Specific provision impact can be seen via the provision mapping tool.</w:t>
            </w:r>
          </w:p>
        </w:tc>
      </w:tr>
      <w:tr w:rsidR="009C413E" w:rsidTr="0032764D">
        <w:trPr>
          <w:trHeight w:val="783"/>
        </w:trPr>
        <w:tc>
          <w:tcPr>
            <w:tcW w:w="3439" w:type="dxa"/>
          </w:tcPr>
          <w:p w:rsidR="009C413E" w:rsidRDefault="009C413E" w:rsidP="0032764D">
            <w:pPr>
              <w:jc w:val="center"/>
            </w:pPr>
            <w:r>
              <w:t xml:space="preserve">Play therapy </w:t>
            </w:r>
          </w:p>
        </w:tc>
        <w:tc>
          <w:tcPr>
            <w:tcW w:w="3439" w:type="dxa"/>
          </w:tcPr>
          <w:p w:rsidR="009C413E" w:rsidRDefault="009C413E" w:rsidP="0032764D">
            <w:pPr>
              <w:jc w:val="center"/>
            </w:pPr>
            <w:r>
              <w:t>£2000</w:t>
            </w:r>
          </w:p>
        </w:tc>
        <w:tc>
          <w:tcPr>
            <w:tcW w:w="3439" w:type="dxa"/>
          </w:tcPr>
          <w:p w:rsidR="009C413E" w:rsidRDefault="009C413E" w:rsidP="0032764D">
            <w:pPr>
              <w:jc w:val="center"/>
            </w:pPr>
            <w:r>
              <w:t>£1925</w:t>
            </w:r>
          </w:p>
        </w:tc>
        <w:tc>
          <w:tcPr>
            <w:tcW w:w="3441" w:type="dxa"/>
          </w:tcPr>
          <w:p w:rsidR="009C413E" w:rsidRPr="00FF6148" w:rsidRDefault="009C413E" w:rsidP="0032764D">
            <w:pPr>
              <w:rPr>
                <w:sz w:val="18"/>
                <w:szCs w:val="18"/>
              </w:rPr>
            </w:pPr>
            <w:r w:rsidRPr="00FF6148">
              <w:rPr>
                <w:sz w:val="18"/>
                <w:szCs w:val="18"/>
              </w:rPr>
              <w:t>80% improvement in results from SDQs</w:t>
            </w:r>
            <w:r>
              <w:rPr>
                <w:sz w:val="18"/>
                <w:szCs w:val="18"/>
              </w:rPr>
              <w:t xml:space="preserve">. </w:t>
            </w:r>
          </w:p>
        </w:tc>
      </w:tr>
      <w:tr w:rsidR="009C413E" w:rsidTr="0032764D">
        <w:trPr>
          <w:trHeight w:val="783"/>
        </w:trPr>
        <w:tc>
          <w:tcPr>
            <w:tcW w:w="3439" w:type="dxa"/>
          </w:tcPr>
          <w:p w:rsidR="009C413E" w:rsidRDefault="009C413E" w:rsidP="0032764D">
            <w:pPr>
              <w:jc w:val="center"/>
            </w:pPr>
            <w:r>
              <w:t>Provision mapping tool</w:t>
            </w:r>
          </w:p>
        </w:tc>
        <w:tc>
          <w:tcPr>
            <w:tcW w:w="3439" w:type="dxa"/>
          </w:tcPr>
          <w:p w:rsidR="009C413E" w:rsidRDefault="009C413E" w:rsidP="0032764D">
            <w:pPr>
              <w:jc w:val="center"/>
            </w:pPr>
            <w:r>
              <w:t>£500</w:t>
            </w:r>
          </w:p>
        </w:tc>
        <w:tc>
          <w:tcPr>
            <w:tcW w:w="3439" w:type="dxa"/>
          </w:tcPr>
          <w:p w:rsidR="009C413E" w:rsidRDefault="009C413E" w:rsidP="0032764D">
            <w:pPr>
              <w:jc w:val="center"/>
            </w:pPr>
            <w:r>
              <w:t>£505</w:t>
            </w:r>
          </w:p>
        </w:tc>
        <w:tc>
          <w:tcPr>
            <w:tcW w:w="3441" w:type="dxa"/>
          </w:tcPr>
          <w:p w:rsidR="009C413E" w:rsidRPr="00DD1DBF" w:rsidRDefault="009C413E" w:rsidP="0032764D">
            <w:pPr>
              <w:rPr>
                <w:sz w:val="18"/>
                <w:szCs w:val="18"/>
              </w:rPr>
            </w:pPr>
            <w:r w:rsidRPr="00DD1DBF">
              <w:rPr>
                <w:sz w:val="18"/>
                <w:szCs w:val="18"/>
              </w:rPr>
              <w:t xml:space="preserve">This tool is vital in being able to </w:t>
            </w:r>
            <w:r>
              <w:rPr>
                <w:sz w:val="18"/>
                <w:szCs w:val="18"/>
              </w:rPr>
              <w:t xml:space="preserve">effectively </w:t>
            </w:r>
            <w:r w:rsidRPr="00DD1DBF">
              <w:rPr>
                <w:sz w:val="18"/>
                <w:szCs w:val="18"/>
              </w:rPr>
              <w:t>monitor and analyse provisions that have been set up.</w:t>
            </w:r>
          </w:p>
        </w:tc>
      </w:tr>
      <w:tr w:rsidR="009C413E" w:rsidTr="0032764D">
        <w:trPr>
          <w:trHeight w:val="265"/>
        </w:trPr>
        <w:tc>
          <w:tcPr>
            <w:tcW w:w="3439" w:type="dxa"/>
          </w:tcPr>
          <w:p w:rsidR="009C413E" w:rsidRDefault="009C413E" w:rsidP="0032764D">
            <w:pPr>
              <w:jc w:val="center"/>
            </w:pPr>
            <w:r>
              <w:t>Assistance with educational visits</w:t>
            </w:r>
          </w:p>
        </w:tc>
        <w:tc>
          <w:tcPr>
            <w:tcW w:w="3439" w:type="dxa"/>
          </w:tcPr>
          <w:p w:rsidR="009C413E" w:rsidRDefault="009C413E" w:rsidP="0032764D">
            <w:pPr>
              <w:jc w:val="center"/>
            </w:pPr>
            <w:r>
              <w:t>£2220</w:t>
            </w:r>
          </w:p>
        </w:tc>
        <w:tc>
          <w:tcPr>
            <w:tcW w:w="3439" w:type="dxa"/>
          </w:tcPr>
          <w:p w:rsidR="009C413E" w:rsidRDefault="009C413E" w:rsidP="0032764D">
            <w:pPr>
              <w:jc w:val="center"/>
            </w:pPr>
            <w:r>
              <w:t>£2280</w:t>
            </w:r>
          </w:p>
        </w:tc>
        <w:tc>
          <w:tcPr>
            <w:tcW w:w="3441" w:type="dxa"/>
          </w:tcPr>
          <w:p w:rsidR="009C413E" w:rsidRPr="00DD1DBF" w:rsidRDefault="009C413E" w:rsidP="0032764D">
            <w:pPr>
              <w:rPr>
                <w:sz w:val="18"/>
                <w:szCs w:val="18"/>
              </w:rPr>
            </w:pPr>
            <w:r w:rsidRPr="00DD1DBF">
              <w:rPr>
                <w:sz w:val="18"/>
                <w:szCs w:val="18"/>
              </w:rPr>
              <w:t>PP children have been supported with the cost of educational visits</w:t>
            </w:r>
            <w:r>
              <w:rPr>
                <w:sz w:val="18"/>
                <w:szCs w:val="18"/>
              </w:rPr>
              <w:t xml:space="preserve"> which has enabled them to experience the same educational gains as their peers.</w:t>
            </w:r>
          </w:p>
        </w:tc>
      </w:tr>
      <w:tr w:rsidR="009C413E" w:rsidTr="0032764D">
        <w:trPr>
          <w:trHeight w:val="265"/>
        </w:trPr>
        <w:tc>
          <w:tcPr>
            <w:tcW w:w="3439" w:type="dxa"/>
          </w:tcPr>
          <w:p w:rsidR="009C413E" w:rsidRDefault="009C413E" w:rsidP="0032764D">
            <w:pPr>
              <w:jc w:val="center"/>
            </w:pPr>
            <w:r>
              <w:t>Fees to support music lessons</w:t>
            </w:r>
          </w:p>
        </w:tc>
        <w:tc>
          <w:tcPr>
            <w:tcW w:w="3439" w:type="dxa"/>
          </w:tcPr>
          <w:p w:rsidR="009C413E" w:rsidRDefault="009C413E" w:rsidP="0032764D">
            <w:pPr>
              <w:jc w:val="center"/>
            </w:pPr>
            <w:r>
              <w:t>£2000</w:t>
            </w:r>
          </w:p>
        </w:tc>
        <w:tc>
          <w:tcPr>
            <w:tcW w:w="3439" w:type="dxa"/>
          </w:tcPr>
          <w:p w:rsidR="009C413E" w:rsidRDefault="009C413E" w:rsidP="0032764D">
            <w:pPr>
              <w:jc w:val="center"/>
            </w:pPr>
            <w:r>
              <w:t>£2880</w:t>
            </w:r>
          </w:p>
        </w:tc>
        <w:tc>
          <w:tcPr>
            <w:tcW w:w="3441" w:type="dxa"/>
          </w:tcPr>
          <w:p w:rsidR="009C413E" w:rsidRPr="00FF6148" w:rsidRDefault="009C413E" w:rsidP="0032764D">
            <w:pPr>
              <w:rPr>
                <w:sz w:val="18"/>
                <w:szCs w:val="18"/>
              </w:rPr>
            </w:pPr>
            <w:r>
              <w:rPr>
                <w:sz w:val="18"/>
                <w:szCs w:val="18"/>
              </w:rPr>
              <w:t xml:space="preserve">This has enabled PP children to access enrichment opportunities that they may not otherwise </w:t>
            </w:r>
            <w:r>
              <w:rPr>
                <w:sz w:val="18"/>
                <w:szCs w:val="18"/>
              </w:rPr>
              <w:lastRenderedPageBreak/>
              <w:t>experience. See individual feedback sheets.</w:t>
            </w:r>
          </w:p>
        </w:tc>
      </w:tr>
      <w:tr w:rsidR="009C413E" w:rsidTr="0032764D">
        <w:trPr>
          <w:trHeight w:val="251"/>
        </w:trPr>
        <w:tc>
          <w:tcPr>
            <w:tcW w:w="3439" w:type="dxa"/>
          </w:tcPr>
          <w:p w:rsidR="009C413E" w:rsidRDefault="009C413E" w:rsidP="0032764D">
            <w:pPr>
              <w:jc w:val="center"/>
            </w:pPr>
            <w:r>
              <w:lastRenderedPageBreak/>
              <w:t>Fees to support extra-curricular clubs such as sport, French and drama</w:t>
            </w:r>
          </w:p>
        </w:tc>
        <w:tc>
          <w:tcPr>
            <w:tcW w:w="3439" w:type="dxa"/>
          </w:tcPr>
          <w:p w:rsidR="009C413E" w:rsidRDefault="009C413E" w:rsidP="0032764D">
            <w:pPr>
              <w:jc w:val="center"/>
            </w:pPr>
            <w:r>
              <w:t>£1500</w:t>
            </w:r>
          </w:p>
        </w:tc>
        <w:tc>
          <w:tcPr>
            <w:tcW w:w="3439" w:type="dxa"/>
          </w:tcPr>
          <w:p w:rsidR="009C413E" w:rsidRDefault="009C413E" w:rsidP="0032764D">
            <w:pPr>
              <w:jc w:val="center"/>
            </w:pPr>
            <w:r>
              <w:t>£2301.50</w:t>
            </w:r>
          </w:p>
        </w:tc>
        <w:tc>
          <w:tcPr>
            <w:tcW w:w="3441" w:type="dxa"/>
          </w:tcPr>
          <w:p w:rsidR="009C413E" w:rsidRDefault="009C413E" w:rsidP="0032764D">
            <w:r>
              <w:rPr>
                <w:sz w:val="18"/>
                <w:szCs w:val="18"/>
              </w:rPr>
              <w:t>This has enabled PP children to access enrichment opportunities that they may not otherwise experience.</w:t>
            </w:r>
          </w:p>
        </w:tc>
      </w:tr>
      <w:tr w:rsidR="009C413E" w:rsidTr="0032764D">
        <w:trPr>
          <w:trHeight w:val="251"/>
        </w:trPr>
        <w:tc>
          <w:tcPr>
            <w:tcW w:w="3439" w:type="dxa"/>
          </w:tcPr>
          <w:p w:rsidR="009C413E" w:rsidRDefault="009C413E" w:rsidP="0032764D">
            <w:pPr>
              <w:jc w:val="center"/>
            </w:pPr>
            <w:r>
              <w:t>Year 4 residential visit</w:t>
            </w:r>
          </w:p>
        </w:tc>
        <w:tc>
          <w:tcPr>
            <w:tcW w:w="3439" w:type="dxa"/>
          </w:tcPr>
          <w:p w:rsidR="009C413E" w:rsidRDefault="009C413E" w:rsidP="0032764D">
            <w:pPr>
              <w:jc w:val="center"/>
            </w:pPr>
            <w:r>
              <w:t>£1300</w:t>
            </w:r>
          </w:p>
        </w:tc>
        <w:tc>
          <w:tcPr>
            <w:tcW w:w="3439" w:type="dxa"/>
          </w:tcPr>
          <w:p w:rsidR="009C413E" w:rsidRDefault="009C413E" w:rsidP="0032764D">
            <w:pPr>
              <w:jc w:val="center"/>
            </w:pPr>
            <w:r>
              <w:t>£1300</w:t>
            </w:r>
          </w:p>
        </w:tc>
        <w:tc>
          <w:tcPr>
            <w:tcW w:w="3441" w:type="dxa"/>
          </w:tcPr>
          <w:p w:rsidR="009C413E" w:rsidRDefault="009C413E" w:rsidP="0032764D">
            <w:r>
              <w:rPr>
                <w:sz w:val="18"/>
                <w:szCs w:val="18"/>
              </w:rPr>
              <w:t xml:space="preserve">Year 4 </w:t>
            </w:r>
            <w:r w:rsidRPr="00DD1DBF">
              <w:rPr>
                <w:sz w:val="18"/>
                <w:szCs w:val="18"/>
              </w:rPr>
              <w:t xml:space="preserve">PP children have been supported with the cost of </w:t>
            </w:r>
            <w:r>
              <w:rPr>
                <w:sz w:val="18"/>
                <w:szCs w:val="18"/>
              </w:rPr>
              <w:t>the residential trip which has enabled them to experience the same educational gains as their peers.</w:t>
            </w:r>
          </w:p>
        </w:tc>
      </w:tr>
      <w:tr w:rsidR="009C413E" w:rsidTr="0032764D">
        <w:trPr>
          <w:trHeight w:val="265"/>
        </w:trPr>
        <w:tc>
          <w:tcPr>
            <w:tcW w:w="3439" w:type="dxa"/>
          </w:tcPr>
          <w:p w:rsidR="009C413E" w:rsidRDefault="009C413E" w:rsidP="0032764D">
            <w:pPr>
              <w:jc w:val="center"/>
            </w:pPr>
            <w:r>
              <w:t>CPD</w:t>
            </w:r>
          </w:p>
        </w:tc>
        <w:tc>
          <w:tcPr>
            <w:tcW w:w="3439" w:type="dxa"/>
          </w:tcPr>
          <w:p w:rsidR="009C413E" w:rsidRDefault="009C413E" w:rsidP="0032764D">
            <w:pPr>
              <w:jc w:val="center"/>
            </w:pPr>
            <w:r>
              <w:t>£200</w:t>
            </w:r>
          </w:p>
        </w:tc>
        <w:tc>
          <w:tcPr>
            <w:tcW w:w="3439" w:type="dxa"/>
          </w:tcPr>
          <w:p w:rsidR="009C413E" w:rsidRDefault="009C413E" w:rsidP="0032764D">
            <w:pPr>
              <w:jc w:val="center"/>
            </w:pPr>
            <w:r>
              <w:t>£430</w:t>
            </w:r>
          </w:p>
        </w:tc>
        <w:tc>
          <w:tcPr>
            <w:tcW w:w="3441" w:type="dxa"/>
          </w:tcPr>
          <w:p w:rsidR="009C413E" w:rsidRPr="00385CAA" w:rsidRDefault="009C413E" w:rsidP="0032764D">
            <w:pPr>
              <w:rPr>
                <w:sz w:val="18"/>
                <w:szCs w:val="18"/>
              </w:rPr>
            </w:pPr>
            <w:r w:rsidRPr="00385CAA">
              <w:rPr>
                <w:sz w:val="18"/>
                <w:szCs w:val="18"/>
              </w:rPr>
              <w:t xml:space="preserve">1 LSA attended </w:t>
            </w:r>
            <w:proofErr w:type="spellStart"/>
            <w:r w:rsidRPr="00385CAA">
              <w:rPr>
                <w:sz w:val="18"/>
                <w:szCs w:val="18"/>
              </w:rPr>
              <w:t>Sounds~Write</w:t>
            </w:r>
            <w:proofErr w:type="spellEnd"/>
            <w:r w:rsidRPr="00385CAA">
              <w:rPr>
                <w:sz w:val="18"/>
                <w:szCs w:val="18"/>
              </w:rPr>
              <w:t xml:space="preserve"> training. This is now being used as an intervention across the school. See provision mapping tool for specific impact.</w:t>
            </w:r>
          </w:p>
        </w:tc>
      </w:tr>
      <w:tr w:rsidR="009C413E" w:rsidTr="0032764D">
        <w:trPr>
          <w:trHeight w:val="265"/>
        </w:trPr>
        <w:tc>
          <w:tcPr>
            <w:tcW w:w="3439" w:type="dxa"/>
          </w:tcPr>
          <w:p w:rsidR="009C413E" w:rsidRDefault="009C413E" w:rsidP="0032764D">
            <w:pPr>
              <w:jc w:val="center"/>
            </w:pPr>
            <w:r>
              <w:t>Fees to support before and after school club</w:t>
            </w:r>
          </w:p>
        </w:tc>
        <w:tc>
          <w:tcPr>
            <w:tcW w:w="3439" w:type="dxa"/>
          </w:tcPr>
          <w:p w:rsidR="009C413E" w:rsidRDefault="009C413E" w:rsidP="0032764D">
            <w:pPr>
              <w:jc w:val="center"/>
            </w:pPr>
            <w:r>
              <w:t>£1000</w:t>
            </w:r>
          </w:p>
        </w:tc>
        <w:tc>
          <w:tcPr>
            <w:tcW w:w="3439" w:type="dxa"/>
          </w:tcPr>
          <w:p w:rsidR="009C413E" w:rsidRDefault="009C413E" w:rsidP="0032764D">
            <w:pPr>
              <w:jc w:val="center"/>
            </w:pPr>
            <w:r>
              <w:t>£403</w:t>
            </w:r>
          </w:p>
        </w:tc>
        <w:tc>
          <w:tcPr>
            <w:tcW w:w="3441" w:type="dxa"/>
          </w:tcPr>
          <w:p w:rsidR="009C413E" w:rsidRPr="00BB7C8C" w:rsidRDefault="009C413E" w:rsidP="0032764D">
            <w:pPr>
              <w:rPr>
                <w:sz w:val="18"/>
                <w:szCs w:val="18"/>
              </w:rPr>
            </w:pPr>
            <w:r w:rsidRPr="00BB7C8C">
              <w:rPr>
                <w:sz w:val="18"/>
                <w:szCs w:val="18"/>
              </w:rPr>
              <w:t xml:space="preserve">This has enabled families to be supported with wrap around care which </w:t>
            </w:r>
            <w:r>
              <w:rPr>
                <w:sz w:val="18"/>
                <w:szCs w:val="18"/>
              </w:rPr>
              <w:t>directly impacts attendance. See tracking sheet to termly attendance of PP children.</w:t>
            </w:r>
          </w:p>
        </w:tc>
      </w:tr>
      <w:tr w:rsidR="009C413E" w:rsidTr="0032764D">
        <w:trPr>
          <w:trHeight w:val="265"/>
        </w:trPr>
        <w:tc>
          <w:tcPr>
            <w:tcW w:w="3439" w:type="dxa"/>
          </w:tcPr>
          <w:p w:rsidR="009C413E" w:rsidRDefault="009C413E" w:rsidP="0032764D">
            <w:pPr>
              <w:jc w:val="center"/>
            </w:pPr>
            <w:r>
              <w:t xml:space="preserve">Total </w:t>
            </w:r>
          </w:p>
        </w:tc>
        <w:tc>
          <w:tcPr>
            <w:tcW w:w="3439" w:type="dxa"/>
          </w:tcPr>
          <w:p w:rsidR="009C413E" w:rsidRDefault="009C413E" w:rsidP="0032764D">
            <w:pPr>
              <w:jc w:val="center"/>
            </w:pPr>
            <w:r>
              <w:t>£27,720</w:t>
            </w:r>
          </w:p>
        </w:tc>
        <w:tc>
          <w:tcPr>
            <w:tcW w:w="3439" w:type="dxa"/>
          </w:tcPr>
          <w:p w:rsidR="009C413E" w:rsidRDefault="009C413E" w:rsidP="0032764D">
            <w:pPr>
              <w:jc w:val="center"/>
            </w:pPr>
            <w:r>
              <w:t>£29,185.50</w:t>
            </w:r>
          </w:p>
        </w:tc>
        <w:tc>
          <w:tcPr>
            <w:tcW w:w="3441" w:type="dxa"/>
          </w:tcPr>
          <w:p w:rsidR="009C413E" w:rsidRDefault="009C413E" w:rsidP="0032764D">
            <w:pPr>
              <w:jc w:val="center"/>
            </w:pPr>
          </w:p>
        </w:tc>
      </w:tr>
    </w:tbl>
    <w:p w:rsidR="009C413E" w:rsidRDefault="009C413E" w:rsidP="009C413E">
      <w:r>
        <w:t>The remaining PP grant goes towards staff costs in running provisions. Impact of these provisions for individual children can be seen through the provision mapping tool.</w:t>
      </w:r>
    </w:p>
    <w:p w:rsidR="00864208" w:rsidRDefault="00864208"/>
    <w:sectPr w:rsidR="00864208" w:rsidSect="009C413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13E"/>
    <w:rsid w:val="00864208"/>
    <w:rsid w:val="009C4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E015E-ACEB-4CDC-8CCE-BD3EB58D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1</cp:revision>
  <dcterms:created xsi:type="dcterms:W3CDTF">2019-10-14T13:58:00Z</dcterms:created>
  <dcterms:modified xsi:type="dcterms:W3CDTF">2019-10-14T14:00:00Z</dcterms:modified>
</cp:coreProperties>
</file>