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1B" w:rsidRPr="0042661B" w:rsidRDefault="0042661B" w:rsidP="0042661B">
      <w:pPr>
        <w:jc w:val="center"/>
        <w:rPr>
          <w:b/>
          <w:u w:val="single"/>
        </w:rPr>
      </w:pPr>
      <w:r w:rsidRPr="003E43DB">
        <w:rPr>
          <w:b/>
          <w:u w:val="single"/>
        </w:rPr>
        <w:t>PP grant spend</w:t>
      </w:r>
      <w:bookmarkStart w:id="0" w:name="_GoBack"/>
      <w:bookmarkEnd w:id="0"/>
    </w:p>
    <w:p w:rsidR="0042661B" w:rsidRPr="004E41A0" w:rsidRDefault="0042661B" w:rsidP="0042661B">
      <w:r w:rsidRPr="004E41A0">
        <w:t xml:space="preserve">The PP grant (30 children) allocation for </w:t>
      </w:r>
      <w:r w:rsidRPr="004E41A0">
        <w:rPr>
          <w:b/>
        </w:rPr>
        <w:t>18/19</w:t>
      </w:r>
      <w:r w:rsidRPr="004E41A0">
        <w:t xml:space="preserve"> is £45,360 (April 18 to April 19). A summary of how we intend to spend this money and the intended impact is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3460"/>
      </w:tblGrid>
      <w:tr w:rsidR="0042661B" w:rsidRPr="004E41A0" w:rsidTr="0032764D">
        <w:trPr>
          <w:trHeight w:val="261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Area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Allocation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Actual spend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jc w:val="center"/>
            </w:pPr>
            <w:r w:rsidRPr="004E41A0">
              <w:t>Impact– measured at the end of each academic year July 19</w:t>
            </w:r>
          </w:p>
        </w:tc>
      </w:tr>
      <w:tr w:rsidR="0042661B" w:rsidRPr="004E41A0" w:rsidTr="0032764D">
        <w:trPr>
          <w:trHeight w:val="462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Pastoral support</w:t>
            </w:r>
          </w:p>
          <w:p w:rsidR="0042661B" w:rsidRPr="004E41A0" w:rsidRDefault="0042661B" w:rsidP="0032764D">
            <w:pPr>
              <w:jc w:val="center"/>
            </w:pP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£6500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£6738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 xml:space="preserve">PS have worked with a range of children over the year (9 PP). This can take the form of 1:1 sessions, group sessions or check-ins. As the year has progressed this has moved more towards using research based provisions such as </w:t>
            </w:r>
            <w:proofErr w:type="spellStart"/>
            <w:r w:rsidRPr="004E41A0">
              <w:rPr>
                <w:sz w:val="18"/>
                <w:szCs w:val="18"/>
              </w:rPr>
              <w:t>lego</w:t>
            </w:r>
            <w:proofErr w:type="spellEnd"/>
            <w:r w:rsidRPr="004E41A0">
              <w:rPr>
                <w:sz w:val="18"/>
                <w:szCs w:val="18"/>
              </w:rPr>
              <w:t xml:space="preserve"> therapy which has been used to support around 16 children. PS support have created a range of strategies to use with children and have also been available to support parents on an ongoing basis and have attended parent workshops as well as parents evenings.</w:t>
            </w:r>
          </w:p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>PG have organised and run a Nurture Fun Club during Monday lunchtime on a fortnightly cycle consisting of 21 children. The aim of Fun Club is to increase children’s resilience, self-esteem and friendships across the KS.</w:t>
            </w:r>
          </w:p>
        </w:tc>
      </w:tr>
      <w:tr w:rsidR="0042661B" w:rsidRPr="004E41A0" w:rsidTr="0032764D">
        <w:trPr>
          <w:trHeight w:val="468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Intervention leads/LSA/Class teacher support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£23,300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£23,300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>See provision outcomes.</w:t>
            </w:r>
          </w:p>
        </w:tc>
      </w:tr>
      <w:tr w:rsidR="0042661B" w:rsidRPr="004E41A0" w:rsidTr="0032764D">
        <w:trPr>
          <w:trHeight w:val="561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 xml:space="preserve">Play therapy 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£5500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£4,250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>Unfortunately this provision was stopped mid-year due to the therapist having ongoing health issues.</w:t>
            </w:r>
            <w:r>
              <w:rPr>
                <w:sz w:val="18"/>
                <w:szCs w:val="18"/>
              </w:rPr>
              <w:t xml:space="preserve"> Therefore final SDQs were not completed and the impact is difficult to measure. However we have not felt the need to refer any of the </w:t>
            </w:r>
            <w:r>
              <w:rPr>
                <w:sz w:val="18"/>
                <w:szCs w:val="18"/>
              </w:rPr>
              <w:lastRenderedPageBreak/>
              <w:t>children onto other external professionals for support indicating that there are no ongoing needs.</w:t>
            </w:r>
          </w:p>
        </w:tc>
      </w:tr>
      <w:tr w:rsidR="0042661B" w:rsidRPr="004E41A0" w:rsidTr="0032764D">
        <w:trPr>
          <w:trHeight w:val="458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lastRenderedPageBreak/>
              <w:t>Provision mapping tool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£500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£505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>This tool is vital in being able to effectively monitor and analyse p</w:t>
            </w:r>
            <w:r>
              <w:rPr>
                <w:sz w:val="18"/>
                <w:szCs w:val="18"/>
              </w:rPr>
              <w:t>rovisions that have been set up for all children across the school.</w:t>
            </w:r>
          </w:p>
        </w:tc>
      </w:tr>
      <w:tr w:rsidR="0042661B" w:rsidRPr="004E41A0" w:rsidTr="0032764D">
        <w:trPr>
          <w:trHeight w:val="261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Assistance with educational visits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£2000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£694.30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>PP children have been supported with the cost of educational visits which has enabled them to experience the same e</w:t>
            </w:r>
            <w:r>
              <w:rPr>
                <w:sz w:val="18"/>
                <w:szCs w:val="18"/>
              </w:rPr>
              <w:t>ducational gains as their peers. Attending these visits has also contributed towards the cultural capital of some of our children.</w:t>
            </w:r>
          </w:p>
        </w:tc>
      </w:tr>
      <w:tr w:rsidR="0042661B" w:rsidRPr="004E41A0" w:rsidTr="0032764D">
        <w:trPr>
          <w:trHeight w:val="261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Year 4 residential visit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£1360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£1360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>Year 4 PP children have been supported with the cost of the residential trip which has enabled them to experience the same educational gains as their peers.</w:t>
            </w:r>
            <w:r>
              <w:rPr>
                <w:sz w:val="18"/>
                <w:szCs w:val="18"/>
              </w:rPr>
              <w:t xml:space="preserve"> Attending these visits has also contributed towards the cultural capital of some of our children.</w:t>
            </w:r>
          </w:p>
        </w:tc>
      </w:tr>
      <w:tr w:rsidR="0042661B" w:rsidRPr="004E41A0" w:rsidTr="0032764D">
        <w:trPr>
          <w:trHeight w:val="261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Fees to support music lessons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£3000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£1256.12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>This has enabled PP children to access enrichment opportunities that they may not otherwise experience (cultural capital). See individual feedback sheets.</w:t>
            </w:r>
          </w:p>
        </w:tc>
      </w:tr>
      <w:tr w:rsidR="0042661B" w:rsidRPr="004E41A0" w:rsidTr="0032764D">
        <w:trPr>
          <w:trHeight w:val="247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Fees to support extra-curricular clubs such as sport, French and drama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£2500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£1012.25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>This has enabled PP children to access enrichment opportunities that th</w:t>
            </w:r>
            <w:r>
              <w:rPr>
                <w:sz w:val="18"/>
                <w:szCs w:val="18"/>
              </w:rPr>
              <w:t>ey may not otherwise experience (cultural capital).</w:t>
            </w:r>
          </w:p>
        </w:tc>
      </w:tr>
      <w:tr w:rsidR="0042661B" w:rsidRPr="004E41A0" w:rsidTr="0032764D">
        <w:trPr>
          <w:trHeight w:val="261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CPD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£200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 xml:space="preserve">£220 – </w:t>
            </w:r>
            <w:proofErr w:type="spellStart"/>
            <w:r w:rsidRPr="004E41A0">
              <w:t>lego</w:t>
            </w:r>
            <w:proofErr w:type="spellEnd"/>
            <w:r w:rsidRPr="004E41A0">
              <w:t xml:space="preserve"> therapy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 xml:space="preserve">The 2 pastoral LSA’s attended </w:t>
            </w:r>
            <w:proofErr w:type="spellStart"/>
            <w:r w:rsidRPr="004E41A0">
              <w:rPr>
                <w:sz w:val="18"/>
                <w:szCs w:val="18"/>
              </w:rPr>
              <w:t>lego</w:t>
            </w:r>
            <w:proofErr w:type="spellEnd"/>
            <w:r w:rsidRPr="004E41A0">
              <w:rPr>
                <w:sz w:val="18"/>
                <w:szCs w:val="18"/>
              </w:rPr>
              <w:t>- therapy training. This is now being used as a provision across the school. See provision mapping tool for specific impact.</w:t>
            </w:r>
          </w:p>
          <w:p w:rsidR="0042661B" w:rsidRPr="004E41A0" w:rsidRDefault="0042661B" w:rsidP="0032764D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 xml:space="preserve">Lego therapy focuses on social interaction, self-confidence and resilience. These skills have been </w:t>
            </w:r>
            <w:r w:rsidRPr="004E41A0">
              <w:rPr>
                <w:sz w:val="18"/>
                <w:szCs w:val="18"/>
              </w:rPr>
              <w:lastRenderedPageBreak/>
              <w:t>evident in several children’s unstructured time choices.</w:t>
            </w:r>
          </w:p>
        </w:tc>
      </w:tr>
      <w:tr w:rsidR="0042661B" w:rsidRPr="004E41A0" w:rsidTr="0032764D">
        <w:trPr>
          <w:trHeight w:val="261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lastRenderedPageBreak/>
              <w:t>Fees to support before school club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£500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£0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rPr>
                <w:sz w:val="18"/>
                <w:szCs w:val="18"/>
              </w:rPr>
            </w:pPr>
          </w:p>
        </w:tc>
      </w:tr>
      <w:tr w:rsidR="0042661B" w:rsidRPr="004E41A0" w:rsidTr="0032764D">
        <w:trPr>
          <w:trHeight w:val="261"/>
        </w:trPr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Total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£45,360</w:t>
            </w:r>
          </w:p>
        </w:tc>
        <w:tc>
          <w:tcPr>
            <w:tcW w:w="3458" w:type="dxa"/>
          </w:tcPr>
          <w:p w:rsidR="0042661B" w:rsidRPr="004E41A0" w:rsidRDefault="0042661B" w:rsidP="0032764D">
            <w:pPr>
              <w:jc w:val="center"/>
            </w:pPr>
            <w:r w:rsidRPr="004E41A0">
              <w:t>£39,335.67</w:t>
            </w:r>
          </w:p>
        </w:tc>
        <w:tc>
          <w:tcPr>
            <w:tcW w:w="3460" w:type="dxa"/>
          </w:tcPr>
          <w:p w:rsidR="0042661B" w:rsidRPr="004E41A0" w:rsidRDefault="0042661B" w:rsidP="003276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61B" w:rsidRPr="004E41A0" w:rsidRDefault="0042661B" w:rsidP="0042661B"/>
    <w:p w:rsidR="0042661B" w:rsidRPr="004E41A0" w:rsidRDefault="0042661B" w:rsidP="0042661B">
      <w:r w:rsidRPr="004E41A0">
        <w:t>Additional needs rose over the year and are accounted for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3461"/>
        <w:gridCol w:w="3464"/>
      </w:tblGrid>
      <w:tr w:rsidR="0042661B" w:rsidRPr="004E41A0" w:rsidTr="0032764D">
        <w:trPr>
          <w:trHeight w:val="522"/>
        </w:trPr>
        <w:tc>
          <w:tcPr>
            <w:tcW w:w="3461" w:type="dxa"/>
          </w:tcPr>
          <w:p w:rsidR="0042661B" w:rsidRPr="004E41A0" w:rsidRDefault="0042661B" w:rsidP="0032764D">
            <w:pPr>
              <w:jc w:val="center"/>
            </w:pPr>
            <w:r w:rsidRPr="004E41A0">
              <w:t>Area</w:t>
            </w:r>
          </w:p>
        </w:tc>
        <w:tc>
          <w:tcPr>
            <w:tcW w:w="3461" w:type="dxa"/>
          </w:tcPr>
          <w:p w:rsidR="0042661B" w:rsidRPr="004E41A0" w:rsidRDefault="0042661B" w:rsidP="0032764D">
            <w:pPr>
              <w:jc w:val="center"/>
            </w:pPr>
            <w:r w:rsidRPr="004E41A0">
              <w:t>Actual spend</w:t>
            </w:r>
          </w:p>
        </w:tc>
        <w:tc>
          <w:tcPr>
            <w:tcW w:w="3464" w:type="dxa"/>
          </w:tcPr>
          <w:p w:rsidR="0042661B" w:rsidRPr="004E41A0" w:rsidRDefault="0042661B" w:rsidP="0032764D">
            <w:pPr>
              <w:jc w:val="center"/>
            </w:pPr>
            <w:r w:rsidRPr="004E41A0">
              <w:t>Impact– measured at the end of each academic year</w:t>
            </w:r>
          </w:p>
        </w:tc>
      </w:tr>
      <w:tr w:rsidR="0042661B" w:rsidRPr="004E41A0" w:rsidTr="0032764D">
        <w:trPr>
          <w:trHeight w:val="431"/>
        </w:trPr>
        <w:tc>
          <w:tcPr>
            <w:tcW w:w="3461" w:type="dxa"/>
          </w:tcPr>
          <w:p w:rsidR="0042661B" w:rsidRPr="004E41A0" w:rsidRDefault="0042661B" w:rsidP="0032764D">
            <w:pPr>
              <w:jc w:val="center"/>
            </w:pPr>
            <w:r w:rsidRPr="004E41A0">
              <w:t xml:space="preserve">Rising stars maths provision </w:t>
            </w:r>
          </w:p>
        </w:tc>
        <w:tc>
          <w:tcPr>
            <w:tcW w:w="3461" w:type="dxa"/>
          </w:tcPr>
          <w:p w:rsidR="0042661B" w:rsidRPr="004E41A0" w:rsidRDefault="0042661B" w:rsidP="0032764D">
            <w:pPr>
              <w:jc w:val="center"/>
            </w:pPr>
            <w:r w:rsidRPr="004E41A0">
              <w:t>£600</w:t>
            </w:r>
          </w:p>
        </w:tc>
        <w:tc>
          <w:tcPr>
            <w:tcW w:w="3464" w:type="dxa"/>
          </w:tcPr>
          <w:p w:rsidR="0042661B" w:rsidRPr="003E23B0" w:rsidRDefault="0042661B" w:rsidP="0032764D">
            <w:pPr>
              <w:rPr>
                <w:sz w:val="18"/>
                <w:szCs w:val="18"/>
              </w:rPr>
            </w:pPr>
            <w:r w:rsidRPr="003E23B0">
              <w:rPr>
                <w:sz w:val="18"/>
                <w:szCs w:val="18"/>
              </w:rPr>
              <w:t>This has enabled us to run a more detailed maths provision across the school. See specific provision outcome.</w:t>
            </w:r>
          </w:p>
        </w:tc>
      </w:tr>
      <w:tr w:rsidR="0042661B" w:rsidRPr="004E41A0" w:rsidTr="0032764D">
        <w:trPr>
          <w:trHeight w:val="395"/>
        </w:trPr>
        <w:tc>
          <w:tcPr>
            <w:tcW w:w="3461" w:type="dxa"/>
          </w:tcPr>
          <w:p w:rsidR="0042661B" w:rsidRPr="004E41A0" w:rsidRDefault="0042661B" w:rsidP="0032764D">
            <w:pPr>
              <w:jc w:val="center"/>
            </w:pPr>
            <w:r w:rsidRPr="004E41A0">
              <w:t>Resources</w:t>
            </w:r>
          </w:p>
        </w:tc>
        <w:tc>
          <w:tcPr>
            <w:tcW w:w="3461" w:type="dxa"/>
          </w:tcPr>
          <w:p w:rsidR="0042661B" w:rsidRPr="004E41A0" w:rsidRDefault="0042661B" w:rsidP="0032764D">
            <w:pPr>
              <w:jc w:val="center"/>
            </w:pPr>
            <w:r w:rsidRPr="004E41A0">
              <w:t xml:space="preserve">£50 - </w:t>
            </w:r>
            <w:proofErr w:type="spellStart"/>
            <w:r w:rsidRPr="004E41A0">
              <w:t>lego</w:t>
            </w:r>
            <w:proofErr w:type="spellEnd"/>
          </w:p>
        </w:tc>
        <w:tc>
          <w:tcPr>
            <w:tcW w:w="3464" w:type="dxa"/>
          </w:tcPr>
          <w:p w:rsidR="0042661B" w:rsidRPr="003E23B0" w:rsidRDefault="0042661B" w:rsidP="0032764D">
            <w:pPr>
              <w:rPr>
                <w:sz w:val="18"/>
                <w:szCs w:val="18"/>
              </w:rPr>
            </w:pPr>
            <w:r w:rsidRPr="003E23B0">
              <w:rPr>
                <w:sz w:val="18"/>
                <w:szCs w:val="18"/>
              </w:rPr>
              <w:t xml:space="preserve">Needed for </w:t>
            </w:r>
            <w:proofErr w:type="spellStart"/>
            <w:r w:rsidRPr="003E23B0">
              <w:rPr>
                <w:sz w:val="18"/>
                <w:szCs w:val="18"/>
              </w:rPr>
              <w:t>lego</w:t>
            </w:r>
            <w:proofErr w:type="spellEnd"/>
            <w:r w:rsidRPr="003E23B0">
              <w:rPr>
                <w:sz w:val="18"/>
                <w:szCs w:val="18"/>
              </w:rPr>
              <w:t xml:space="preserve"> therapy sessions</w:t>
            </w:r>
          </w:p>
        </w:tc>
      </w:tr>
      <w:tr w:rsidR="0042661B" w:rsidRPr="004E41A0" w:rsidTr="0032764D">
        <w:trPr>
          <w:trHeight w:val="395"/>
        </w:trPr>
        <w:tc>
          <w:tcPr>
            <w:tcW w:w="3461" w:type="dxa"/>
          </w:tcPr>
          <w:p w:rsidR="0042661B" w:rsidRPr="004E41A0" w:rsidRDefault="0042661B" w:rsidP="0032764D">
            <w:pPr>
              <w:jc w:val="center"/>
            </w:pPr>
            <w:r w:rsidRPr="004E41A0">
              <w:t>Total:</w:t>
            </w:r>
          </w:p>
        </w:tc>
        <w:tc>
          <w:tcPr>
            <w:tcW w:w="3461" w:type="dxa"/>
          </w:tcPr>
          <w:p w:rsidR="0042661B" w:rsidRPr="004E41A0" w:rsidRDefault="0042661B" w:rsidP="0032764D">
            <w:pPr>
              <w:jc w:val="center"/>
            </w:pPr>
            <w:r w:rsidRPr="004E41A0">
              <w:t>£650</w:t>
            </w:r>
          </w:p>
        </w:tc>
        <w:tc>
          <w:tcPr>
            <w:tcW w:w="3464" w:type="dxa"/>
          </w:tcPr>
          <w:p w:rsidR="0042661B" w:rsidRPr="004E41A0" w:rsidRDefault="0042661B" w:rsidP="0032764D">
            <w:pPr>
              <w:jc w:val="center"/>
            </w:pPr>
          </w:p>
        </w:tc>
      </w:tr>
    </w:tbl>
    <w:p w:rsidR="0042661B" w:rsidRDefault="0042661B" w:rsidP="0042661B">
      <w:r w:rsidRPr="004E41A0">
        <w:t>TOTAL: £39,985.67</w:t>
      </w:r>
    </w:p>
    <w:p w:rsidR="0042661B" w:rsidRDefault="0042661B" w:rsidP="0042661B">
      <w:r w:rsidRPr="004E41A0">
        <w:t xml:space="preserve">The remaining £5,374.33 went on staff costs for running provisions across the </w:t>
      </w:r>
      <w:r w:rsidRPr="004E41A0">
        <w:rPr>
          <w:color w:val="000000" w:themeColor="text1"/>
        </w:rPr>
        <w:t>school.</w:t>
      </w:r>
      <w:r w:rsidRPr="004E41A0">
        <w:rPr>
          <w:color w:val="000000" w:themeColor="text1"/>
          <w:shd w:val="clear" w:color="auto" w:fill="FFFFFF"/>
        </w:rPr>
        <w:t xml:space="preserve"> Small group provision involv</w:t>
      </w:r>
      <w:r>
        <w:rPr>
          <w:color w:val="000000" w:themeColor="text1"/>
          <w:shd w:val="clear" w:color="auto" w:fill="FFFFFF"/>
        </w:rPr>
        <w:t>es a teacher/LSA working with</w:t>
      </w:r>
      <w:r w:rsidRPr="004E41A0">
        <w:rPr>
          <w:color w:val="000000" w:themeColor="text1"/>
          <w:shd w:val="clear" w:color="auto" w:fill="FFFFFF"/>
        </w:rPr>
        <w:t xml:space="preserve"> a small group of children (normally no more than 6), usually on their own in a separate classroom or working area. This intensive tuition approach is often provided to support lower attaining learners </w:t>
      </w:r>
      <w:r>
        <w:rPr>
          <w:color w:val="000000" w:themeColor="text1"/>
          <w:shd w:val="clear" w:color="auto" w:fill="FFFFFF"/>
        </w:rPr>
        <w:t>or those who are falling behind.</w:t>
      </w:r>
    </w:p>
    <w:p w:rsidR="00864208" w:rsidRDefault="00864208"/>
    <w:sectPr w:rsidR="00864208" w:rsidSect="004266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B"/>
    <w:rsid w:val="0042661B"/>
    <w:rsid w:val="008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C42FE-9B84-4409-9934-218D1B2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2019-10-14T13:59:00Z</dcterms:created>
  <dcterms:modified xsi:type="dcterms:W3CDTF">2019-10-14T14:00:00Z</dcterms:modified>
</cp:coreProperties>
</file>